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B7" w:rsidRPr="007E3A3A" w:rsidRDefault="00A26AB7" w:rsidP="00F750FC">
      <w:pPr>
        <w:pStyle w:val="a3"/>
        <w:spacing w:line="240" w:lineRule="auto"/>
        <w:ind w:left="0" w:firstLine="540"/>
        <w:rPr>
          <w:sz w:val="24"/>
          <w:szCs w:val="24"/>
        </w:rPr>
      </w:pPr>
      <w:r w:rsidRPr="007E3A3A">
        <w:rPr>
          <w:sz w:val="24"/>
          <w:szCs w:val="24"/>
        </w:rPr>
        <w:t xml:space="preserve">Информация </w:t>
      </w:r>
      <w:r w:rsidR="000D24D2">
        <w:rPr>
          <w:sz w:val="24"/>
          <w:szCs w:val="24"/>
        </w:rPr>
        <w:t>С</w:t>
      </w:r>
      <w:r w:rsidRPr="007E3A3A">
        <w:rPr>
          <w:sz w:val="24"/>
          <w:szCs w:val="24"/>
        </w:rPr>
        <w:t>тороны профсоюзов по вопросу</w:t>
      </w:r>
      <w:r>
        <w:rPr>
          <w:sz w:val="24"/>
          <w:szCs w:val="24"/>
        </w:rPr>
        <w:t xml:space="preserve"> </w:t>
      </w:r>
      <w:r w:rsidRPr="00D02C06">
        <w:rPr>
          <w:sz w:val="24"/>
          <w:szCs w:val="24"/>
        </w:rPr>
        <w:t>№ 2</w:t>
      </w:r>
    </w:p>
    <w:p w:rsidR="00A26AB7" w:rsidRPr="007E3A3A" w:rsidRDefault="00A26AB7" w:rsidP="00F750FC">
      <w:pPr>
        <w:pStyle w:val="a3"/>
        <w:spacing w:line="240" w:lineRule="auto"/>
        <w:ind w:left="0" w:firstLine="540"/>
        <w:rPr>
          <w:sz w:val="24"/>
          <w:szCs w:val="24"/>
        </w:rPr>
      </w:pPr>
      <w:r w:rsidRPr="007E3A3A">
        <w:rPr>
          <w:sz w:val="24"/>
          <w:szCs w:val="24"/>
        </w:rPr>
        <w:t xml:space="preserve"> «О состоянии платежеспособности населения в Камчатском крае» заседания краевой трехсторонней Комиссии по регулированию социально-трудовых отношений в Камчатском крае </w:t>
      </w:r>
      <w:r w:rsidRPr="00D02C06">
        <w:rPr>
          <w:sz w:val="24"/>
          <w:szCs w:val="24"/>
        </w:rPr>
        <w:t xml:space="preserve">от </w:t>
      </w:r>
      <w:r w:rsidR="007E5F45" w:rsidRPr="00D02C06">
        <w:rPr>
          <w:sz w:val="24"/>
          <w:szCs w:val="24"/>
        </w:rPr>
        <w:t>13</w:t>
      </w:r>
      <w:r w:rsidRPr="00D02C06">
        <w:rPr>
          <w:sz w:val="24"/>
          <w:szCs w:val="24"/>
        </w:rPr>
        <w:t>.0</w:t>
      </w:r>
      <w:r w:rsidR="007E5F45" w:rsidRPr="00D02C06">
        <w:rPr>
          <w:sz w:val="24"/>
          <w:szCs w:val="24"/>
        </w:rPr>
        <w:t>9</w:t>
      </w:r>
      <w:r w:rsidRPr="00D02C06">
        <w:rPr>
          <w:sz w:val="24"/>
          <w:szCs w:val="24"/>
        </w:rPr>
        <w:t>.201</w:t>
      </w:r>
      <w:r w:rsidR="007E5F45" w:rsidRPr="00D02C06">
        <w:rPr>
          <w:sz w:val="24"/>
          <w:szCs w:val="24"/>
        </w:rPr>
        <w:t>7</w:t>
      </w:r>
      <w:r w:rsidRPr="00D02C06">
        <w:rPr>
          <w:sz w:val="24"/>
          <w:szCs w:val="24"/>
        </w:rPr>
        <w:t xml:space="preserve"> года.</w:t>
      </w:r>
    </w:p>
    <w:p w:rsidR="002679BE" w:rsidRDefault="002679BE" w:rsidP="00F750FC">
      <w:pPr>
        <w:spacing w:after="0" w:line="240" w:lineRule="auto"/>
        <w:ind w:firstLine="540"/>
      </w:pPr>
    </w:p>
    <w:p w:rsidR="00722A5C" w:rsidRDefault="006C6C66" w:rsidP="00F750FC">
      <w:pPr>
        <w:pStyle w:val="headertext"/>
        <w:spacing w:before="0" w:beforeAutospacing="0" w:after="0" w:afterAutospacing="0"/>
        <w:ind w:firstLine="540"/>
        <w:jc w:val="both"/>
      </w:pPr>
      <w:r w:rsidRPr="006C6C66">
        <w:t xml:space="preserve">На современном этапе развития общества проблемы уровня и качества жизни населения </w:t>
      </w:r>
      <w:r w:rsidR="00D02C06">
        <w:t>крайне</w:t>
      </w:r>
      <w:r w:rsidRPr="006C6C66">
        <w:t xml:space="preserve"> актуальны</w:t>
      </w:r>
      <w:r w:rsidR="000D24D2">
        <w:t xml:space="preserve"> и</w:t>
      </w:r>
      <w:r>
        <w:t xml:space="preserve"> </w:t>
      </w:r>
      <w:r w:rsidR="00D02C06">
        <w:t>требую</w:t>
      </w:r>
      <w:r w:rsidR="000D24D2">
        <w:t>т</w:t>
      </w:r>
      <w:r w:rsidRPr="006C6C66">
        <w:t xml:space="preserve"> регулярного наблюдения за изменениями показателей качества жизни</w:t>
      </w:r>
      <w:r w:rsidR="00C93A5A">
        <w:t>,</w:t>
      </w:r>
      <w:r w:rsidRPr="006C6C66">
        <w:t xml:space="preserve"> как важнейшего критерия эффективности управления регионом</w:t>
      </w:r>
      <w:r>
        <w:t xml:space="preserve">. </w:t>
      </w:r>
      <w:r w:rsidR="00A26AB7" w:rsidRPr="007E3A3A">
        <w:t xml:space="preserve">Федерация профсоюзов Камчатки систематически проводит анализ </w:t>
      </w:r>
      <w:r w:rsidR="00C93A5A">
        <w:t xml:space="preserve">и оценку </w:t>
      </w:r>
      <w:r w:rsidR="00A26AB7" w:rsidRPr="007E3A3A">
        <w:t>платежеспособности населения, уровня жизни и других социально - значимых показателей Камчатского края. В качестве</w:t>
      </w:r>
      <w:r w:rsidR="00C93A5A">
        <w:t xml:space="preserve"> основных</w:t>
      </w:r>
      <w:r w:rsidR="00A26AB7" w:rsidRPr="007E3A3A">
        <w:t xml:space="preserve"> критериев используются денежные доходы населения, складывающиеся из заработной платы, пенсий, пособий. Рассматривается  динамика изменения</w:t>
      </w:r>
      <w:r w:rsidR="00D02C06">
        <w:t xml:space="preserve"> заработной платы, пенсий, уров</w:t>
      </w:r>
      <w:r w:rsidR="00A26AB7" w:rsidRPr="007E3A3A">
        <w:t>н</w:t>
      </w:r>
      <w:r w:rsidR="00D02C06">
        <w:t>я</w:t>
      </w:r>
      <w:r w:rsidR="00A26AB7" w:rsidRPr="007E3A3A">
        <w:t xml:space="preserve"> прожиточного минимума, </w:t>
      </w:r>
      <w:r w:rsidR="00D02C06" w:rsidRPr="007E3A3A">
        <w:t>безработицы</w:t>
      </w:r>
      <w:r w:rsidR="00D02C06">
        <w:t>,</w:t>
      </w:r>
      <w:r w:rsidR="00D02C06" w:rsidRPr="007E3A3A">
        <w:t xml:space="preserve"> за</w:t>
      </w:r>
      <w:r w:rsidR="00D02C06">
        <w:t>долженности по заработной плате,</w:t>
      </w:r>
      <w:r w:rsidR="000D24D2">
        <w:t xml:space="preserve"> </w:t>
      </w:r>
      <w:r w:rsidR="00D02C06">
        <w:t>а также соотношение этих показателей</w:t>
      </w:r>
      <w:r w:rsidR="00A26AB7" w:rsidRPr="007E3A3A">
        <w:t xml:space="preserve"> с минимальной заработной платой</w:t>
      </w:r>
      <w:r w:rsidR="00C93A5A">
        <w:t>, действующей в Камчатском крае.</w:t>
      </w:r>
      <w:r w:rsidR="00A26AB7" w:rsidRPr="007E3A3A">
        <w:t xml:space="preserve"> </w:t>
      </w:r>
      <w:r w:rsidRPr="006C6C66">
        <w:t xml:space="preserve">Основная цель такого мониторинга — предупреждение снижения качества жизни населения и выявление социальных рисков. </w:t>
      </w:r>
    </w:p>
    <w:p w:rsidR="00A26AB7" w:rsidRDefault="00A26AB7" w:rsidP="00F750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AB7" w:rsidRDefault="00A26AB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60FB">
        <w:rPr>
          <w:rFonts w:ascii="Times New Roman" w:hAnsi="Times New Roman" w:cs="Times New Roman"/>
          <w:b/>
          <w:sz w:val="24"/>
          <w:szCs w:val="24"/>
        </w:rPr>
        <w:t>ПРОЖИТОЧНЫЙ МИНИМУМ</w:t>
      </w:r>
      <w:r>
        <w:rPr>
          <w:rFonts w:ascii="Times New Roman" w:hAnsi="Times New Roman" w:cs="Times New Roman"/>
          <w:b/>
          <w:sz w:val="24"/>
          <w:szCs w:val="24"/>
        </w:rPr>
        <w:t xml:space="preserve"> (ПМ)</w:t>
      </w:r>
    </w:p>
    <w:p w:rsidR="00522945" w:rsidRDefault="00522945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945" w:rsidRDefault="00522945" w:rsidP="00F750FC">
      <w:pPr>
        <w:pStyle w:val="headertext"/>
        <w:spacing w:before="0" w:beforeAutospacing="0" w:after="0" w:afterAutospacing="0"/>
        <w:ind w:firstLine="540"/>
        <w:jc w:val="both"/>
      </w:pPr>
      <w:r w:rsidRPr="007E3A3A">
        <w:t xml:space="preserve">Прожиточный минимум является одним из основных показателей, в соответствии с которым рассчитываются жилищные субсидии для населения, производится начисление пособий малообеспеченным категориям граждан, пособий по безработице и отражает стоимостную оценку потребительской корзины. </w:t>
      </w:r>
    </w:p>
    <w:p w:rsidR="006A2213" w:rsidRDefault="00522945" w:rsidP="00F750FC">
      <w:pPr>
        <w:pStyle w:val="headertext"/>
        <w:spacing w:before="0" w:beforeAutospacing="0" w:after="0" w:afterAutospacing="0"/>
        <w:ind w:firstLine="540"/>
        <w:jc w:val="both"/>
      </w:pPr>
      <w:r w:rsidRPr="00D02C06">
        <w:rPr>
          <w:b/>
        </w:rPr>
        <w:t xml:space="preserve">Отметим, что потребительская корзина для основных социально-демографических групп населения в Камчатском крае была утверждена в 2013 году и до настоящего времени не пересматривалась. </w:t>
      </w:r>
      <w:r>
        <w:t xml:space="preserve">Согласно </w:t>
      </w:r>
      <w:r w:rsidRPr="00522945">
        <w:t>закон</w:t>
      </w:r>
      <w:r>
        <w:t>у</w:t>
      </w:r>
      <w:r w:rsidRPr="00522945">
        <w:t xml:space="preserve"> </w:t>
      </w:r>
      <w:r>
        <w:t>К</w:t>
      </w:r>
      <w:r w:rsidRPr="00522945">
        <w:t xml:space="preserve">амчатского края от 27 марта 2013 года N 225 </w:t>
      </w:r>
      <w:r>
        <w:t>«</w:t>
      </w:r>
      <w:r w:rsidRPr="00522945">
        <w:t>О потребител</w:t>
      </w:r>
      <w:r>
        <w:t>ьской корзине в Камчатском крае» п</w:t>
      </w:r>
      <w:r w:rsidRPr="00522945">
        <w:t>отребительская корзина для основных социально-демографических групп населения в Камчатском крае устанавливается не реже одного раза в пять лет.</w:t>
      </w:r>
      <w:r>
        <w:t xml:space="preserve"> </w:t>
      </w:r>
      <w:r w:rsidR="006A2213">
        <w:t>Таким образом, в 2018 году</w:t>
      </w:r>
      <w:r w:rsidR="000D24D2">
        <w:t xml:space="preserve"> должен быть</w:t>
      </w:r>
      <w:r w:rsidR="006A2213">
        <w:t xml:space="preserve"> пересмотр </w:t>
      </w:r>
      <w:r w:rsidR="006A2213" w:rsidRPr="007E3A3A">
        <w:t>набор</w:t>
      </w:r>
      <w:r w:rsidR="000D24D2">
        <w:t>а</w:t>
      </w:r>
      <w:r w:rsidR="006A2213" w:rsidRPr="007E3A3A">
        <w:t xml:space="preserve"> товаров и услуг</w:t>
      </w:r>
      <w:r w:rsidR="006A2213">
        <w:t xml:space="preserve"> потребительской корзины.</w:t>
      </w:r>
    </w:p>
    <w:p w:rsidR="006A2213" w:rsidRDefault="006A2213" w:rsidP="00F750FC">
      <w:pPr>
        <w:spacing w:after="0" w:line="240" w:lineRule="auto"/>
        <w:ind w:firstLine="540"/>
        <w:jc w:val="both"/>
      </w:pPr>
      <w:r w:rsidRPr="00793735">
        <w:rPr>
          <w:rFonts w:ascii="Times New Roman" w:hAnsi="Times New Roman" w:cs="Times New Roman"/>
          <w:sz w:val="24"/>
          <w:szCs w:val="24"/>
        </w:rPr>
        <w:t>По мнению Федерации профсоюзов Камчатки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735">
        <w:rPr>
          <w:rFonts w:ascii="Times New Roman" w:hAnsi="Times New Roman" w:cs="Times New Roman"/>
          <w:sz w:val="24"/>
          <w:szCs w:val="24"/>
        </w:rPr>
        <w:t xml:space="preserve"> утвержденная</w:t>
      </w:r>
      <w:r w:rsidR="00722A5C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79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4D2">
        <w:rPr>
          <w:rFonts w:ascii="Times New Roman" w:hAnsi="Times New Roman" w:cs="Times New Roman"/>
          <w:sz w:val="24"/>
          <w:szCs w:val="24"/>
        </w:rPr>
        <w:t>потребительсткая</w:t>
      </w:r>
      <w:proofErr w:type="spellEnd"/>
      <w:r w:rsidRPr="00793735">
        <w:rPr>
          <w:rFonts w:ascii="Times New Roman" w:hAnsi="Times New Roman" w:cs="Times New Roman"/>
          <w:sz w:val="24"/>
          <w:szCs w:val="24"/>
        </w:rPr>
        <w:t xml:space="preserve"> корзина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A3A">
        <w:rPr>
          <w:rFonts w:ascii="Times New Roman" w:hAnsi="Times New Roman" w:cs="Times New Roman"/>
          <w:sz w:val="24"/>
          <w:szCs w:val="24"/>
        </w:rPr>
        <w:t>меет недостаточный  набор товаров и услуг и не в состоянии обеспечить полноценную 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EC5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7E3A3A">
        <w:rPr>
          <w:rFonts w:ascii="Times New Roman" w:hAnsi="Times New Roman" w:cs="Times New Roman"/>
          <w:sz w:val="24"/>
          <w:szCs w:val="24"/>
        </w:rPr>
        <w:t>чевидно, что труд в  Камчатском крае, как в районе Крайнего Севера, связан с высокой физической активностью, и соответственно, повышен</w:t>
      </w:r>
      <w:r>
        <w:rPr>
          <w:rFonts w:ascii="Times New Roman" w:hAnsi="Times New Roman" w:cs="Times New Roman"/>
          <w:sz w:val="24"/>
          <w:szCs w:val="24"/>
        </w:rPr>
        <w:t>ными энергетическими затратами.</w:t>
      </w:r>
    </w:p>
    <w:p w:rsidR="00522945" w:rsidRDefault="00522945" w:rsidP="00F750FC">
      <w:pPr>
        <w:pStyle w:val="headertext"/>
        <w:spacing w:before="0" w:beforeAutospacing="0" w:after="0" w:afterAutospacing="0"/>
        <w:ind w:firstLine="540"/>
        <w:jc w:val="both"/>
      </w:pPr>
      <w:r>
        <w:t xml:space="preserve">Федерация профсоюзов Камчатки надеется, что </w:t>
      </w:r>
      <w:r w:rsidR="006A2213">
        <w:t>вновь разработанный перечень продовольственных и промышленных товаров, который войдет в потребительскую корзину, будет значительно расширен по сравнению с прошлым.</w:t>
      </w:r>
    </w:p>
    <w:p w:rsidR="003F2A9D" w:rsidRPr="003F2A9D" w:rsidRDefault="00FD6EC5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3F2A9D">
        <w:rPr>
          <w:b/>
        </w:rPr>
        <w:t xml:space="preserve">В настоящее время Правительством Камчатского </w:t>
      </w:r>
      <w:r w:rsidRPr="00F24527">
        <w:rPr>
          <w:b/>
        </w:rPr>
        <w:t xml:space="preserve">края </w:t>
      </w:r>
      <w:r w:rsidR="003F2A9D" w:rsidRPr="003F2A9D">
        <w:rPr>
          <w:b/>
        </w:rPr>
        <w:t>была установлена величина прожиточного минимума в Камчатском крае на II квартал 2017 года в следующих размерах:</w:t>
      </w:r>
    </w:p>
    <w:p w:rsidR="003F2A9D" w:rsidRPr="003F2A9D" w:rsidRDefault="003F2A9D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3F2A9D">
        <w:rPr>
          <w:b/>
        </w:rPr>
        <w:t>для трудоспособного гражданина - 20 399  рублей,</w:t>
      </w:r>
    </w:p>
    <w:p w:rsidR="003F2A9D" w:rsidRPr="003F2A9D" w:rsidRDefault="003F2A9D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3F2A9D">
        <w:rPr>
          <w:b/>
        </w:rPr>
        <w:t>в среднем на душу населения – 19 580  рублей,</w:t>
      </w:r>
    </w:p>
    <w:p w:rsidR="003F2A9D" w:rsidRPr="003F2A9D" w:rsidRDefault="003F2A9D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3F2A9D">
        <w:rPr>
          <w:b/>
        </w:rPr>
        <w:t>для пенсионеров – 15 588  рублей,</w:t>
      </w:r>
    </w:p>
    <w:p w:rsidR="003F2A9D" w:rsidRDefault="003F2A9D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3F2A9D">
        <w:rPr>
          <w:b/>
        </w:rPr>
        <w:t>для детей – 21 124  рублей.</w:t>
      </w:r>
    </w:p>
    <w:p w:rsidR="003F2A9D" w:rsidRDefault="003F2A9D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</w:p>
    <w:p w:rsidR="00B80C47" w:rsidRDefault="00B80C4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80C47" w:rsidRDefault="00B80C4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80C47" w:rsidRDefault="00B80C4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80C47" w:rsidRDefault="00B80C4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80C47" w:rsidRDefault="00B80C4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B80C47" w:rsidRDefault="00B80C4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3F2A9D" w:rsidRDefault="003F2A9D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B4E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Официальный размер прожиточного минимума трудоспособного населения в Камчатском крае за период </w:t>
      </w:r>
    </w:p>
    <w:p w:rsidR="003F2A9D" w:rsidRDefault="003F2A9D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A5C">
        <w:rPr>
          <w:rFonts w:ascii="Times New Roman" w:hAnsi="Times New Roman" w:cs="Times New Roman"/>
          <w:i/>
          <w:sz w:val="24"/>
          <w:szCs w:val="24"/>
        </w:rPr>
        <w:t>1 января 201</w:t>
      </w:r>
      <w:r w:rsidR="00722A5C" w:rsidRPr="00722A5C">
        <w:rPr>
          <w:rFonts w:ascii="Times New Roman" w:hAnsi="Times New Roman" w:cs="Times New Roman"/>
          <w:i/>
          <w:sz w:val="24"/>
          <w:szCs w:val="24"/>
        </w:rPr>
        <w:t>7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 года (</w:t>
      </w:r>
      <w:proofErr w:type="gramStart"/>
      <w:r w:rsidRPr="00722A5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proofErr w:type="gramEnd"/>
      <w:r w:rsidRPr="00722A5C">
        <w:rPr>
          <w:rFonts w:ascii="Times New Roman" w:hAnsi="Times New Roman" w:cs="Times New Roman"/>
          <w:i/>
          <w:sz w:val="24"/>
          <w:szCs w:val="24"/>
        </w:rPr>
        <w:t>квартал 201</w:t>
      </w:r>
      <w:r w:rsidR="00722A5C" w:rsidRPr="00722A5C">
        <w:rPr>
          <w:rFonts w:ascii="Times New Roman" w:hAnsi="Times New Roman" w:cs="Times New Roman"/>
          <w:i/>
          <w:sz w:val="24"/>
          <w:szCs w:val="24"/>
        </w:rPr>
        <w:t>6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г.) </w:t>
      </w:r>
      <w:r w:rsidRPr="007E5F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E5F45" w:rsidRPr="007E5F45">
        <w:rPr>
          <w:rFonts w:ascii="Times New Roman" w:hAnsi="Times New Roman" w:cs="Times New Roman"/>
          <w:i/>
          <w:sz w:val="24"/>
          <w:szCs w:val="24"/>
        </w:rPr>
        <w:t>13</w:t>
      </w:r>
      <w:r w:rsidRPr="007E5F45">
        <w:rPr>
          <w:rFonts w:ascii="Times New Roman" w:hAnsi="Times New Roman" w:cs="Times New Roman"/>
          <w:i/>
          <w:sz w:val="24"/>
          <w:szCs w:val="24"/>
        </w:rPr>
        <w:t xml:space="preserve"> сентября </w:t>
      </w:r>
      <w:r w:rsidRPr="00722A5C">
        <w:rPr>
          <w:rFonts w:ascii="Times New Roman" w:hAnsi="Times New Roman" w:cs="Times New Roman"/>
          <w:i/>
          <w:sz w:val="24"/>
          <w:szCs w:val="24"/>
        </w:rPr>
        <w:t>201</w:t>
      </w:r>
      <w:r w:rsidR="00722A5C" w:rsidRPr="00722A5C">
        <w:rPr>
          <w:rFonts w:ascii="Times New Roman" w:hAnsi="Times New Roman" w:cs="Times New Roman"/>
          <w:i/>
          <w:sz w:val="24"/>
          <w:szCs w:val="24"/>
        </w:rPr>
        <w:t>7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 года (</w:t>
      </w:r>
      <w:r w:rsidRPr="00722A5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722A5C" w:rsidRPr="00722A5C">
        <w:rPr>
          <w:rFonts w:ascii="Times New Roman" w:hAnsi="Times New Roman" w:cs="Times New Roman"/>
          <w:i/>
          <w:sz w:val="24"/>
          <w:szCs w:val="24"/>
        </w:rPr>
        <w:t>7</w:t>
      </w:r>
      <w:r w:rsidRPr="00722A5C">
        <w:rPr>
          <w:rFonts w:ascii="Times New Roman" w:hAnsi="Times New Roman" w:cs="Times New Roman"/>
          <w:i/>
          <w:sz w:val="24"/>
          <w:szCs w:val="24"/>
        </w:rPr>
        <w:t>г.)</w:t>
      </w:r>
    </w:p>
    <w:p w:rsidR="00B80C47" w:rsidRPr="003F2A9D" w:rsidRDefault="00B80C47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8"/>
        <w:gridCol w:w="1701"/>
        <w:gridCol w:w="2411"/>
      </w:tblGrid>
      <w:tr w:rsidR="00722A5C" w:rsidRPr="00722A5C" w:rsidTr="00F750FC">
        <w:trPr>
          <w:trHeight w:val="1265"/>
        </w:trPr>
        <w:tc>
          <w:tcPr>
            <w:tcW w:w="2694" w:type="dxa"/>
            <w:shd w:val="clear" w:color="auto" w:fill="auto"/>
            <w:vAlign w:val="center"/>
          </w:tcPr>
          <w:p w:rsidR="00722A5C" w:rsidRPr="00722A5C" w:rsidRDefault="00722A5C" w:rsidP="00F750F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Социально-демографические группы населения</w:t>
            </w:r>
          </w:p>
        </w:tc>
        <w:tc>
          <w:tcPr>
            <w:tcW w:w="1559" w:type="dxa"/>
            <w:vAlign w:val="center"/>
          </w:tcPr>
          <w:p w:rsidR="00722A5C" w:rsidRPr="00722A5C" w:rsidRDefault="00722A5C" w:rsidP="00F750FC">
            <w:pPr>
              <w:ind w:left="3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A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IV квартал 2016 года (руб.)</w:t>
            </w:r>
          </w:p>
        </w:tc>
        <w:tc>
          <w:tcPr>
            <w:tcW w:w="1558" w:type="dxa"/>
            <w:vAlign w:val="center"/>
          </w:tcPr>
          <w:p w:rsidR="00722A5C" w:rsidRPr="0019567E" w:rsidRDefault="00722A5C" w:rsidP="00F750F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956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 квартал</w:t>
            </w:r>
          </w:p>
          <w:p w:rsidR="00722A5C" w:rsidRPr="0019567E" w:rsidRDefault="00722A5C" w:rsidP="00F750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201</w:t>
            </w:r>
            <w:r w:rsidRPr="001956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7</w:t>
            </w:r>
            <w:r w:rsidRPr="001956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года (руб.)</w:t>
            </w:r>
          </w:p>
        </w:tc>
        <w:tc>
          <w:tcPr>
            <w:tcW w:w="1701" w:type="dxa"/>
            <w:vAlign w:val="center"/>
          </w:tcPr>
          <w:p w:rsidR="00722A5C" w:rsidRPr="00722A5C" w:rsidRDefault="000F48D4" w:rsidP="00F750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722A5C" w:rsidRPr="00722A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квартал</w:t>
            </w:r>
          </w:p>
          <w:p w:rsidR="00722A5C" w:rsidRPr="00722A5C" w:rsidRDefault="00722A5C" w:rsidP="00F75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Pr="00722A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7</w:t>
            </w:r>
            <w:r w:rsidRPr="00722A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(руб.)</w:t>
            </w:r>
          </w:p>
        </w:tc>
        <w:tc>
          <w:tcPr>
            <w:tcW w:w="2411" w:type="dxa"/>
            <w:vAlign w:val="center"/>
          </w:tcPr>
          <w:p w:rsidR="000D24D2" w:rsidRPr="00722A5C" w:rsidRDefault="00722A5C" w:rsidP="00F750FC">
            <w:pPr>
              <w:ind w:firstLine="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8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Разница</w:t>
            </w:r>
            <w:r w:rsidR="000D24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между показателем </w:t>
            </w:r>
            <w:r w:rsidR="000D24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0D24D2" w:rsidRPr="00722A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</w:t>
            </w:r>
            <w:r w:rsidR="000D24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  <w:r w:rsidR="000D24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0D24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D24D2" w:rsidRPr="00722A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квартал</w:t>
            </w:r>
            <w:r w:rsidR="000D24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 </w:t>
            </w:r>
            <w:r w:rsidR="000C39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 года</w:t>
            </w:r>
          </w:p>
          <w:p w:rsidR="00722A5C" w:rsidRPr="00722A5C" w:rsidRDefault="000D24D2" w:rsidP="00F750FC">
            <w:pPr>
              <w:ind w:firstLine="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750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(руб.)</w:t>
            </w:r>
          </w:p>
        </w:tc>
      </w:tr>
      <w:tr w:rsidR="00722A5C" w:rsidRPr="00722A5C" w:rsidTr="00F750FC">
        <w:tc>
          <w:tcPr>
            <w:tcW w:w="2694" w:type="dxa"/>
            <w:shd w:val="clear" w:color="auto" w:fill="auto"/>
            <w:vAlign w:val="center"/>
          </w:tcPr>
          <w:p w:rsidR="00722A5C" w:rsidRPr="00B80C47" w:rsidRDefault="00722A5C" w:rsidP="00F750F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0C47">
              <w:rPr>
                <w:rFonts w:ascii="Times New Roman" w:hAnsi="Times New Roman" w:cs="Times New Roman"/>
              </w:rPr>
              <w:t>для трудоспособного гражданина</w:t>
            </w:r>
          </w:p>
        </w:tc>
        <w:tc>
          <w:tcPr>
            <w:tcW w:w="1559" w:type="dxa"/>
            <w:vAlign w:val="center"/>
          </w:tcPr>
          <w:p w:rsidR="00722A5C" w:rsidRPr="00722A5C" w:rsidRDefault="00722A5C" w:rsidP="00F750FC">
            <w:pPr>
              <w:ind w:left="3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A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20292</w:t>
            </w:r>
          </w:p>
        </w:tc>
        <w:tc>
          <w:tcPr>
            <w:tcW w:w="1558" w:type="dxa"/>
            <w:vAlign w:val="center"/>
          </w:tcPr>
          <w:p w:rsidR="00722A5C" w:rsidRPr="0019567E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9567E">
              <w:rPr>
                <w:rFonts w:eastAsiaTheme="minorEastAsia"/>
                <w:bCs/>
                <w:kern w:val="24"/>
              </w:rPr>
              <w:t>20 394</w:t>
            </w:r>
          </w:p>
        </w:tc>
        <w:tc>
          <w:tcPr>
            <w:tcW w:w="1701" w:type="dxa"/>
            <w:vAlign w:val="center"/>
          </w:tcPr>
          <w:p w:rsidR="00722A5C" w:rsidRPr="00722A5C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22A5C">
              <w:rPr>
                <w:rFonts w:eastAsiaTheme="minorEastAsia"/>
                <w:b/>
                <w:bCs/>
                <w:kern w:val="24"/>
              </w:rPr>
              <w:t>20 39</w:t>
            </w:r>
            <w:r>
              <w:rPr>
                <w:rFonts w:eastAsiaTheme="minorEastAsia"/>
                <w:b/>
                <w:bCs/>
                <w:kern w:val="24"/>
              </w:rPr>
              <w:t>9</w:t>
            </w:r>
          </w:p>
        </w:tc>
        <w:tc>
          <w:tcPr>
            <w:tcW w:w="2411" w:type="dxa"/>
            <w:vAlign w:val="bottom"/>
          </w:tcPr>
          <w:p w:rsidR="00722A5C" w:rsidRPr="0019567E" w:rsidRDefault="00722A5C" w:rsidP="00F750FC">
            <w:pPr>
              <w:pStyle w:val="a8"/>
              <w:spacing w:before="0" w:beforeAutospacing="0" w:after="0" w:afterAutospacing="0"/>
              <w:ind w:firstLine="35"/>
              <w:jc w:val="center"/>
              <w:rPr>
                <w:rFonts w:eastAsiaTheme="minorEastAsia"/>
                <w:b/>
                <w:bCs/>
                <w:kern w:val="24"/>
              </w:rPr>
            </w:pPr>
            <w:r w:rsidRPr="0019567E">
              <w:rPr>
                <w:rFonts w:eastAsiaTheme="minorEastAsia"/>
                <w:b/>
                <w:bCs/>
                <w:kern w:val="24"/>
              </w:rPr>
              <w:t>+5</w:t>
            </w:r>
          </w:p>
        </w:tc>
      </w:tr>
      <w:tr w:rsidR="00722A5C" w:rsidRPr="00722A5C" w:rsidTr="00F750FC">
        <w:tc>
          <w:tcPr>
            <w:tcW w:w="2694" w:type="dxa"/>
            <w:shd w:val="clear" w:color="auto" w:fill="auto"/>
            <w:vAlign w:val="center"/>
          </w:tcPr>
          <w:p w:rsidR="00722A5C" w:rsidRPr="00B80C47" w:rsidRDefault="00722A5C" w:rsidP="00F750F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0C47">
              <w:rPr>
                <w:rFonts w:ascii="Times New Roman" w:hAnsi="Times New Roman" w:cs="Times New Roman"/>
              </w:rPr>
              <w:t>в среднем на душу населения</w:t>
            </w:r>
          </w:p>
        </w:tc>
        <w:tc>
          <w:tcPr>
            <w:tcW w:w="1559" w:type="dxa"/>
            <w:vAlign w:val="center"/>
          </w:tcPr>
          <w:p w:rsidR="00722A5C" w:rsidRPr="00722A5C" w:rsidRDefault="00722A5C" w:rsidP="00F750FC">
            <w:pPr>
              <w:ind w:left="3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A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19451</w:t>
            </w:r>
          </w:p>
        </w:tc>
        <w:tc>
          <w:tcPr>
            <w:tcW w:w="1558" w:type="dxa"/>
            <w:vAlign w:val="center"/>
          </w:tcPr>
          <w:p w:rsidR="00722A5C" w:rsidRPr="0019567E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9567E">
              <w:rPr>
                <w:rFonts w:eastAsiaTheme="minorEastAsia"/>
                <w:bCs/>
                <w:kern w:val="24"/>
              </w:rPr>
              <w:t>19 573</w:t>
            </w:r>
          </w:p>
        </w:tc>
        <w:tc>
          <w:tcPr>
            <w:tcW w:w="1701" w:type="dxa"/>
            <w:vAlign w:val="center"/>
          </w:tcPr>
          <w:p w:rsidR="00722A5C" w:rsidRPr="00722A5C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22A5C">
              <w:rPr>
                <w:rFonts w:eastAsiaTheme="minorEastAsia"/>
                <w:b/>
                <w:bCs/>
                <w:kern w:val="24"/>
              </w:rPr>
              <w:t>19 5</w:t>
            </w:r>
            <w:r>
              <w:rPr>
                <w:rFonts w:eastAsiaTheme="minorEastAsia"/>
                <w:b/>
                <w:bCs/>
                <w:kern w:val="24"/>
              </w:rPr>
              <w:t>80</w:t>
            </w:r>
          </w:p>
        </w:tc>
        <w:tc>
          <w:tcPr>
            <w:tcW w:w="2411" w:type="dxa"/>
            <w:vAlign w:val="bottom"/>
          </w:tcPr>
          <w:p w:rsidR="00722A5C" w:rsidRPr="0019567E" w:rsidRDefault="0019567E" w:rsidP="00F750FC">
            <w:pPr>
              <w:pStyle w:val="a8"/>
              <w:spacing w:before="0" w:beforeAutospacing="0" w:after="0" w:afterAutospacing="0"/>
              <w:ind w:firstLine="35"/>
              <w:jc w:val="center"/>
              <w:rPr>
                <w:rFonts w:eastAsiaTheme="minorEastAsia"/>
                <w:b/>
                <w:bCs/>
                <w:kern w:val="24"/>
              </w:rPr>
            </w:pPr>
            <w:r w:rsidRPr="0019567E">
              <w:rPr>
                <w:rFonts w:eastAsiaTheme="minorEastAsia"/>
                <w:b/>
                <w:bCs/>
                <w:kern w:val="24"/>
              </w:rPr>
              <w:t>+</w:t>
            </w:r>
            <w:r w:rsidR="00722A5C" w:rsidRPr="0019567E">
              <w:rPr>
                <w:rFonts w:eastAsiaTheme="minorEastAsia"/>
                <w:b/>
                <w:bCs/>
                <w:kern w:val="24"/>
              </w:rPr>
              <w:t>7</w:t>
            </w:r>
          </w:p>
        </w:tc>
      </w:tr>
      <w:tr w:rsidR="00722A5C" w:rsidRPr="00722A5C" w:rsidTr="00F750FC">
        <w:tc>
          <w:tcPr>
            <w:tcW w:w="2694" w:type="dxa"/>
            <w:shd w:val="clear" w:color="auto" w:fill="auto"/>
            <w:vAlign w:val="center"/>
          </w:tcPr>
          <w:p w:rsidR="00722A5C" w:rsidRPr="00B80C47" w:rsidRDefault="00722A5C" w:rsidP="00F750F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0C47">
              <w:rPr>
                <w:rFonts w:ascii="Times New Roman" w:hAnsi="Times New Roman" w:cs="Times New Roman"/>
              </w:rPr>
              <w:t>для пенсионеров</w:t>
            </w:r>
          </w:p>
        </w:tc>
        <w:tc>
          <w:tcPr>
            <w:tcW w:w="1559" w:type="dxa"/>
            <w:vAlign w:val="center"/>
          </w:tcPr>
          <w:p w:rsidR="00722A5C" w:rsidRPr="00722A5C" w:rsidRDefault="00722A5C" w:rsidP="00F750FC">
            <w:pPr>
              <w:ind w:left="3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A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15405</w:t>
            </w:r>
          </w:p>
        </w:tc>
        <w:tc>
          <w:tcPr>
            <w:tcW w:w="1558" w:type="dxa"/>
            <w:vAlign w:val="center"/>
          </w:tcPr>
          <w:p w:rsidR="00722A5C" w:rsidRPr="0019567E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9567E">
              <w:rPr>
                <w:bCs/>
                <w:kern w:val="24"/>
              </w:rPr>
              <w:t>15 579</w:t>
            </w:r>
          </w:p>
        </w:tc>
        <w:tc>
          <w:tcPr>
            <w:tcW w:w="1701" w:type="dxa"/>
            <w:vAlign w:val="center"/>
          </w:tcPr>
          <w:p w:rsidR="00722A5C" w:rsidRPr="00722A5C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22A5C">
              <w:rPr>
                <w:b/>
                <w:bCs/>
                <w:kern w:val="24"/>
              </w:rPr>
              <w:t>15 5</w:t>
            </w:r>
            <w:r>
              <w:rPr>
                <w:b/>
                <w:bCs/>
                <w:kern w:val="24"/>
              </w:rPr>
              <w:t>88</w:t>
            </w:r>
          </w:p>
        </w:tc>
        <w:tc>
          <w:tcPr>
            <w:tcW w:w="2411" w:type="dxa"/>
            <w:vAlign w:val="bottom"/>
          </w:tcPr>
          <w:p w:rsidR="00722A5C" w:rsidRPr="0019567E" w:rsidRDefault="0019567E" w:rsidP="00F750FC">
            <w:pPr>
              <w:pStyle w:val="a8"/>
              <w:spacing w:before="0" w:beforeAutospacing="0" w:after="0" w:afterAutospacing="0"/>
              <w:ind w:firstLine="35"/>
              <w:jc w:val="center"/>
              <w:rPr>
                <w:rFonts w:eastAsiaTheme="minorEastAsia"/>
                <w:b/>
                <w:bCs/>
                <w:kern w:val="24"/>
              </w:rPr>
            </w:pPr>
            <w:r w:rsidRPr="0019567E">
              <w:rPr>
                <w:rFonts w:eastAsiaTheme="minorEastAsia"/>
                <w:b/>
                <w:bCs/>
                <w:kern w:val="24"/>
              </w:rPr>
              <w:t>+</w:t>
            </w:r>
            <w:r w:rsidR="00722A5C" w:rsidRPr="0019567E">
              <w:rPr>
                <w:rFonts w:eastAsiaTheme="minorEastAsia"/>
                <w:b/>
                <w:bCs/>
                <w:kern w:val="24"/>
              </w:rPr>
              <w:t>9</w:t>
            </w:r>
          </w:p>
        </w:tc>
      </w:tr>
      <w:tr w:rsidR="00722A5C" w:rsidRPr="00722A5C" w:rsidTr="00F750FC">
        <w:tc>
          <w:tcPr>
            <w:tcW w:w="2694" w:type="dxa"/>
            <w:shd w:val="clear" w:color="auto" w:fill="auto"/>
            <w:vAlign w:val="center"/>
          </w:tcPr>
          <w:p w:rsidR="00722A5C" w:rsidRPr="00B80C47" w:rsidRDefault="00722A5C" w:rsidP="00F750F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0C47">
              <w:rPr>
                <w:rFonts w:ascii="Times New Roman" w:hAnsi="Times New Roman" w:cs="Times New Roman"/>
              </w:rPr>
              <w:t>для детей</w:t>
            </w:r>
          </w:p>
        </w:tc>
        <w:tc>
          <w:tcPr>
            <w:tcW w:w="1559" w:type="dxa"/>
            <w:vAlign w:val="center"/>
          </w:tcPr>
          <w:p w:rsidR="00722A5C" w:rsidRPr="00722A5C" w:rsidRDefault="00722A5C" w:rsidP="00F750FC">
            <w:pPr>
              <w:ind w:left="3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A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20847</w:t>
            </w:r>
          </w:p>
        </w:tc>
        <w:tc>
          <w:tcPr>
            <w:tcW w:w="1558" w:type="dxa"/>
            <w:vAlign w:val="center"/>
          </w:tcPr>
          <w:p w:rsidR="00722A5C" w:rsidRPr="0019567E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9567E">
              <w:rPr>
                <w:bCs/>
                <w:kern w:val="24"/>
              </w:rPr>
              <w:t>21 113</w:t>
            </w:r>
          </w:p>
        </w:tc>
        <w:tc>
          <w:tcPr>
            <w:tcW w:w="1701" w:type="dxa"/>
            <w:vAlign w:val="center"/>
          </w:tcPr>
          <w:p w:rsidR="00722A5C" w:rsidRPr="00722A5C" w:rsidRDefault="00722A5C" w:rsidP="00F750F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22A5C">
              <w:rPr>
                <w:b/>
                <w:bCs/>
                <w:kern w:val="24"/>
              </w:rPr>
              <w:t>21 1</w:t>
            </w:r>
            <w:r>
              <w:rPr>
                <w:b/>
                <w:bCs/>
                <w:kern w:val="24"/>
              </w:rPr>
              <w:t>24</w:t>
            </w:r>
          </w:p>
        </w:tc>
        <w:tc>
          <w:tcPr>
            <w:tcW w:w="2411" w:type="dxa"/>
            <w:vAlign w:val="bottom"/>
          </w:tcPr>
          <w:p w:rsidR="00722A5C" w:rsidRPr="0019567E" w:rsidRDefault="0019567E" w:rsidP="00F750FC">
            <w:pPr>
              <w:pStyle w:val="a8"/>
              <w:spacing w:before="0" w:beforeAutospacing="0" w:after="0" w:afterAutospacing="0"/>
              <w:ind w:firstLine="35"/>
              <w:jc w:val="center"/>
              <w:rPr>
                <w:rFonts w:eastAsiaTheme="minorEastAsia"/>
                <w:b/>
                <w:bCs/>
                <w:kern w:val="24"/>
              </w:rPr>
            </w:pPr>
            <w:r w:rsidRPr="0019567E">
              <w:rPr>
                <w:rFonts w:eastAsiaTheme="minorEastAsia"/>
                <w:b/>
                <w:bCs/>
                <w:kern w:val="24"/>
              </w:rPr>
              <w:t>+</w:t>
            </w:r>
            <w:r w:rsidR="00722A5C" w:rsidRPr="0019567E">
              <w:rPr>
                <w:rFonts w:eastAsiaTheme="minorEastAsia"/>
                <w:b/>
                <w:bCs/>
                <w:kern w:val="24"/>
              </w:rPr>
              <w:t>11</w:t>
            </w:r>
          </w:p>
        </w:tc>
      </w:tr>
    </w:tbl>
    <w:p w:rsidR="005C3EB2" w:rsidRDefault="005C3EB2" w:rsidP="00F750FC">
      <w:pPr>
        <w:pStyle w:val="headertext"/>
        <w:spacing w:before="0" w:beforeAutospacing="0" w:after="0" w:afterAutospacing="0"/>
        <w:ind w:firstLine="540"/>
      </w:pPr>
    </w:p>
    <w:p w:rsidR="000F48D4" w:rsidRDefault="000F48D4" w:rsidP="00F750FC">
      <w:pPr>
        <w:pStyle w:val="headertext"/>
        <w:spacing w:before="0" w:beforeAutospacing="0" w:after="0" w:afterAutospacing="0"/>
        <w:ind w:firstLine="540"/>
        <w:jc w:val="both"/>
      </w:pPr>
      <w:r w:rsidRPr="000F48D4">
        <w:t>За текущий год (1 января 201</w:t>
      </w:r>
      <w:r>
        <w:t>7</w:t>
      </w:r>
      <w:r w:rsidR="007E5F45">
        <w:t xml:space="preserve"> года</w:t>
      </w:r>
      <w:r w:rsidRPr="000F48D4">
        <w:t xml:space="preserve"> – </w:t>
      </w:r>
      <w:r w:rsidR="007E5F45" w:rsidRPr="007E5F45">
        <w:t>13 сентября 2017 года</w:t>
      </w:r>
      <w:r w:rsidRPr="000F48D4">
        <w:t xml:space="preserve">) </w:t>
      </w:r>
      <w:r>
        <w:t xml:space="preserve">официальный </w:t>
      </w:r>
      <w:r w:rsidRPr="000F48D4">
        <w:t xml:space="preserve">прожиточный минимум увеличился на </w:t>
      </w:r>
      <w:r>
        <w:t xml:space="preserve">0,5 </w:t>
      </w:r>
      <w:r w:rsidRPr="000F48D4">
        <w:t xml:space="preserve">% или </w:t>
      </w:r>
      <w:r>
        <w:t>107</w:t>
      </w:r>
      <w:r w:rsidRPr="000F48D4">
        <w:t xml:space="preserve"> рубл</w:t>
      </w:r>
      <w:r>
        <w:t>ей</w:t>
      </w:r>
      <w:r w:rsidRPr="000F48D4">
        <w:t>.</w:t>
      </w:r>
      <w:r>
        <w:t xml:space="preserve"> </w:t>
      </w:r>
    </w:p>
    <w:p w:rsidR="005C3EB2" w:rsidRDefault="007E1407" w:rsidP="00F750FC">
      <w:pPr>
        <w:pStyle w:val="headertext"/>
        <w:spacing w:before="0" w:beforeAutospacing="0" w:after="0" w:afterAutospacing="0"/>
        <w:ind w:firstLine="540"/>
        <w:jc w:val="both"/>
      </w:pPr>
      <w:r w:rsidRPr="00872269">
        <w:t>Для существенного повышения уровня жизни в России необходимым условием является формирование высокой доли среднего класса.</w:t>
      </w:r>
      <w:r w:rsidR="0017652E">
        <w:t xml:space="preserve"> </w:t>
      </w:r>
      <w:r w:rsidR="0017652E" w:rsidRPr="0017652E">
        <w:t xml:space="preserve">Федерация профсоюзов Камчатки считает, что политика умышленного </w:t>
      </w:r>
      <w:r w:rsidR="000D24D2">
        <w:t>занижения прожиточного минимума</w:t>
      </w:r>
      <w:r w:rsidR="0017652E" w:rsidRPr="0017652E">
        <w:t xml:space="preserve"> преследует</w:t>
      </w:r>
      <w:r w:rsidR="000D24D2">
        <w:t xml:space="preserve"> порочную</w:t>
      </w:r>
      <w:r w:rsidR="0017652E" w:rsidRPr="0017652E">
        <w:t xml:space="preserve"> цель</w:t>
      </w:r>
      <w:r w:rsidR="000D24D2">
        <w:t xml:space="preserve"> искусственного изменения статистических данных, когда </w:t>
      </w:r>
      <w:r w:rsidR="0017652E" w:rsidRPr="0017652E">
        <w:t>наименее обеспеченные граждане Камчатского края пере</w:t>
      </w:r>
      <w:r w:rsidR="000D24D2">
        <w:t>секают</w:t>
      </w:r>
      <w:r w:rsidR="0017652E" w:rsidRPr="0017652E">
        <w:t xml:space="preserve"> черту бедности и в</w:t>
      </w:r>
      <w:r w:rsidR="000D24D2">
        <w:t>ходят</w:t>
      </w:r>
      <w:r w:rsidR="0017652E" w:rsidRPr="0017652E">
        <w:t xml:space="preserve"> в категорию ср</w:t>
      </w:r>
      <w:r w:rsidR="000D24D2">
        <w:t>еднего класса</w:t>
      </w:r>
      <w:r w:rsidR="0017652E" w:rsidRPr="0017652E">
        <w:t>. Более того, она не реш</w:t>
      </w:r>
      <w:r w:rsidR="0017652E">
        <w:t xml:space="preserve">ает сути – борьбы с бедностью. </w:t>
      </w:r>
      <w:r w:rsidR="00154EA4" w:rsidRPr="00872269">
        <w:rPr>
          <w:b/>
        </w:rPr>
        <w:t>Так, согласно статистике, в Камчатском крае в 2016 году численность населения с денежными доходами ниже величины прожиточного минимума (черта бедности) составила 19,5 % (более 61 тысячи человек) от общей численности населения края (2016 год – 316,1 тыс</w:t>
      </w:r>
      <w:r w:rsidR="00BA13AC" w:rsidRPr="00872269">
        <w:rPr>
          <w:b/>
        </w:rPr>
        <w:t>яч</w:t>
      </w:r>
      <w:r w:rsidR="00154EA4" w:rsidRPr="00872269">
        <w:rPr>
          <w:b/>
        </w:rPr>
        <w:t xml:space="preserve"> человек).</w:t>
      </w:r>
      <w:r w:rsidR="00872269">
        <w:t xml:space="preserve"> Более того, ч</w:t>
      </w:r>
      <w:r w:rsidR="00872269" w:rsidRPr="00872269">
        <w:t>исленность населения с денежными доходами ниже величины пр</w:t>
      </w:r>
      <w:r w:rsidR="00872269">
        <w:t xml:space="preserve">ожиточного минимума </w:t>
      </w:r>
      <w:r w:rsidR="00872269" w:rsidRPr="00872269">
        <w:t>ежегодно увеличивается.</w:t>
      </w:r>
      <w:r w:rsidR="00872269">
        <w:t xml:space="preserve"> </w:t>
      </w:r>
      <w:r w:rsidR="00A32D1E">
        <w:t>(2014 год – около 54 тысяч), что подтверждает снижение платежеспособно</w:t>
      </w:r>
      <w:r w:rsidR="0017652E">
        <w:t>сти населения в Камчатском края.</w:t>
      </w:r>
    </w:p>
    <w:p w:rsidR="00BA13AC" w:rsidRDefault="00BA13AC" w:rsidP="00F750FC">
      <w:pPr>
        <w:pStyle w:val="headertext"/>
        <w:spacing w:before="0" w:beforeAutospacing="0" w:after="0" w:afterAutospacing="0"/>
        <w:ind w:firstLine="540"/>
        <w:jc w:val="both"/>
      </w:pPr>
      <w:r w:rsidRPr="007E3A3A">
        <w:t>Федерация профсоюзов Камчатки разработала минимальную потребительскую корзину</w:t>
      </w:r>
      <w:r>
        <w:t>,</w:t>
      </w:r>
      <w:r w:rsidRPr="007E3A3A">
        <w:t xml:space="preserve"> основанную на минимальных пот</w:t>
      </w:r>
      <w:r>
        <w:t>ребностях человека в современных условиях жизни в Камчатском крае</w:t>
      </w:r>
      <w:r w:rsidRPr="007E3A3A">
        <w:t>. Расчеты профсоюзного прожиточного минимума для жителей Камчатского края на основе реальной потребительской корзины производятся ежемесячно.</w:t>
      </w:r>
    </w:p>
    <w:p w:rsidR="005C3EB2" w:rsidRDefault="005C3EB2" w:rsidP="00F750FC">
      <w:pPr>
        <w:pStyle w:val="headertext"/>
        <w:spacing w:before="0" w:beforeAutospacing="0" w:after="0" w:afterAutospacing="0"/>
        <w:ind w:firstLine="540"/>
        <w:jc w:val="both"/>
      </w:pPr>
    </w:p>
    <w:p w:rsidR="00BA13AC" w:rsidRDefault="00BA13AC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13AC">
        <w:rPr>
          <w:rFonts w:ascii="Times New Roman" w:hAnsi="Times New Roman" w:cs="Times New Roman"/>
          <w:i/>
          <w:sz w:val="24"/>
          <w:szCs w:val="24"/>
        </w:rPr>
        <w:t xml:space="preserve">Величина прожиточного минимума, рассчитанного по методике Федерации профсоюзов Камчатки </w:t>
      </w:r>
      <w:r w:rsidRPr="008B4E39">
        <w:rPr>
          <w:rFonts w:ascii="Times New Roman" w:hAnsi="Times New Roman" w:cs="Times New Roman"/>
          <w:i/>
          <w:sz w:val="24"/>
          <w:szCs w:val="24"/>
        </w:rPr>
        <w:t xml:space="preserve">за период </w:t>
      </w:r>
    </w:p>
    <w:p w:rsidR="00BA13AC" w:rsidRDefault="00BA13AC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A5C">
        <w:rPr>
          <w:rFonts w:ascii="Times New Roman" w:hAnsi="Times New Roman" w:cs="Times New Roman"/>
          <w:i/>
          <w:sz w:val="24"/>
          <w:szCs w:val="24"/>
        </w:rPr>
        <w:t>1 января 2017 года (</w:t>
      </w:r>
      <w:r w:rsidRPr="007E5F45">
        <w:rPr>
          <w:rFonts w:ascii="Times New Roman" w:hAnsi="Times New Roman" w:cs="Times New Roman"/>
          <w:i/>
          <w:sz w:val="24"/>
          <w:szCs w:val="24"/>
        </w:rPr>
        <w:t>IV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квартал </w:t>
      </w:r>
      <w:r w:rsidRPr="007E5F45">
        <w:rPr>
          <w:rFonts w:ascii="Times New Roman" w:hAnsi="Times New Roman" w:cs="Times New Roman"/>
          <w:i/>
          <w:sz w:val="24"/>
          <w:szCs w:val="24"/>
        </w:rPr>
        <w:t xml:space="preserve">2016г.) – </w:t>
      </w:r>
      <w:r w:rsidR="007E5F45" w:rsidRPr="007E5F45">
        <w:rPr>
          <w:rFonts w:ascii="Times New Roman" w:hAnsi="Times New Roman" w:cs="Times New Roman"/>
          <w:i/>
          <w:sz w:val="24"/>
          <w:szCs w:val="24"/>
        </w:rPr>
        <w:t>1</w:t>
      </w:r>
      <w:r w:rsidR="007E5F45">
        <w:rPr>
          <w:rFonts w:ascii="Times New Roman" w:hAnsi="Times New Roman" w:cs="Times New Roman"/>
          <w:i/>
          <w:sz w:val="24"/>
          <w:szCs w:val="24"/>
        </w:rPr>
        <w:t>3</w:t>
      </w:r>
      <w:r w:rsidR="007E5F45" w:rsidRPr="007E5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F45">
        <w:rPr>
          <w:rFonts w:ascii="Times New Roman" w:hAnsi="Times New Roman" w:cs="Times New Roman"/>
          <w:i/>
          <w:sz w:val="24"/>
          <w:szCs w:val="24"/>
        </w:rPr>
        <w:t xml:space="preserve">сентября </w:t>
      </w:r>
      <w:r w:rsidRPr="007E5F45">
        <w:rPr>
          <w:rFonts w:ascii="Times New Roman" w:hAnsi="Times New Roman" w:cs="Times New Roman"/>
          <w:i/>
          <w:sz w:val="24"/>
          <w:szCs w:val="24"/>
        </w:rPr>
        <w:t>2017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 года (</w:t>
      </w:r>
      <w:r w:rsidRPr="00722A5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 квартал 2017г.</w:t>
      </w:r>
      <w:proofErr w:type="gramStart"/>
      <w:r w:rsidRPr="00722A5C">
        <w:rPr>
          <w:rFonts w:ascii="Times New Roman" w:hAnsi="Times New Roman" w:cs="Times New Roman"/>
          <w:i/>
          <w:sz w:val="24"/>
          <w:szCs w:val="24"/>
        </w:rPr>
        <w:t>)</w:t>
      </w:r>
      <w:r w:rsidR="0022222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22220">
        <w:rPr>
          <w:rFonts w:ascii="Times New Roman" w:hAnsi="Times New Roman" w:cs="Times New Roman"/>
          <w:i/>
          <w:sz w:val="24"/>
          <w:szCs w:val="24"/>
        </w:rPr>
        <w:t>руб.)</w:t>
      </w:r>
    </w:p>
    <w:p w:rsidR="005C3EB2" w:rsidRPr="003F2A9D" w:rsidRDefault="005C3EB2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A13AC" w:rsidRDefault="00BA13AC" w:rsidP="00F750FC">
      <w:pPr>
        <w:pStyle w:val="headertext"/>
        <w:spacing w:before="0" w:beforeAutospacing="0" w:after="0" w:afterAutospacing="0"/>
        <w:ind w:firstLine="540"/>
        <w:jc w:val="both"/>
      </w:pPr>
      <w:r>
        <w:rPr>
          <w:b/>
          <w:noProof/>
          <w:sz w:val="36"/>
          <w:szCs w:val="36"/>
        </w:rPr>
        <w:drawing>
          <wp:inline distT="0" distB="0" distL="0" distR="0" wp14:anchorId="26CAA8CD" wp14:editId="47BA8FBF">
            <wp:extent cx="6353175" cy="2314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3AC" w:rsidRDefault="00BA13AC" w:rsidP="00F750FC">
      <w:pPr>
        <w:pStyle w:val="headertext"/>
        <w:spacing w:before="0" w:beforeAutospacing="0" w:after="0" w:afterAutospacing="0"/>
        <w:ind w:firstLine="540"/>
        <w:jc w:val="both"/>
      </w:pPr>
    </w:p>
    <w:p w:rsidR="00BA13AC" w:rsidRDefault="00BA13AC" w:rsidP="003A7B04">
      <w:pPr>
        <w:pStyle w:val="headertext"/>
        <w:spacing w:before="0" w:beforeAutospacing="0" w:after="0" w:afterAutospacing="0"/>
        <w:ind w:firstLine="540"/>
        <w:jc w:val="both"/>
      </w:pPr>
      <w:r w:rsidRPr="000F48D4">
        <w:t>За текущий год (1 января 201</w:t>
      </w:r>
      <w:r>
        <w:t>7</w:t>
      </w:r>
      <w:r w:rsidRPr="000F48D4">
        <w:t xml:space="preserve"> – </w:t>
      </w:r>
      <w:r w:rsidRPr="007E5F45">
        <w:t>1</w:t>
      </w:r>
      <w:r w:rsidR="007E5F45">
        <w:t>3</w:t>
      </w:r>
      <w:r w:rsidRPr="007E5F45">
        <w:t xml:space="preserve"> </w:t>
      </w:r>
      <w:r w:rsidR="007E5F45">
        <w:t>сентября</w:t>
      </w:r>
      <w:r w:rsidRPr="007E5F45">
        <w:t xml:space="preserve"> 201</w:t>
      </w:r>
      <w:r w:rsidR="0017652E" w:rsidRPr="007E5F45">
        <w:t>7</w:t>
      </w:r>
      <w:r w:rsidRPr="000F48D4">
        <w:t xml:space="preserve">) прожиточный минимум </w:t>
      </w:r>
      <w:r w:rsidRPr="007E3A3A">
        <w:t>Федераци</w:t>
      </w:r>
      <w:r w:rsidR="003A7B04">
        <w:t>и</w:t>
      </w:r>
      <w:r w:rsidRPr="007E3A3A">
        <w:t xml:space="preserve"> профсоюзов Камчатки </w:t>
      </w:r>
      <w:r w:rsidRPr="007E5F45">
        <w:t>увеличился на 0,5 % или 107 рублей.</w:t>
      </w:r>
      <w:r w:rsidRPr="00BA13AC">
        <w:rPr>
          <w:color w:val="FF0000"/>
        </w:rPr>
        <w:t xml:space="preserve"> </w:t>
      </w:r>
    </w:p>
    <w:p w:rsidR="00390C57" w:rsidRPr="007E5F45" w:rsidRDefault="00390C57" w:rsidP="00F750FC">
      <w:pPr>
        <w:pStyle w:val="headertext"/>
        <w:spacing w:before="0" w:beforeAutospacing="0" w:after="0" w:afterAutospacing="0"/>
        <w:ind w:firstLine="540"/>
        <w:jc w:val="both"/>
        <w:rPr>
          <w:b/>
          <w:bCs/>
        </w:rPr>
      </w:pPr>
      <w:r w:rsidRPr="00390C57">
        <w:rPr>
          <w:b/>
          <w:bCs/>
        </w:rPr>
        <w:t xml:space="preserve">Разница между величиной официального прожиточного минимума трудоспособного человека, рассчитанного Правительством Камчатского края по итогам </w:t>
      </w:r>
      <w:r w:rsidRPr="007E5F45">
        <w:rPr>
          <w:b/>
          <w:bCs/>
        </w:rPr>
        <w:t>II</w:t>
      </w:r>
      <w:r w:rsidRPr="00390C57">
        <w:rPr>
          <w:b/>
          <w:bCs/>
        </w:rPr>
        <w:t xml:space="preserve"> квартала 2017 года (20399 рублей), и прожиточного минимума, рассчитанного по методике </w:t>
      </w:r>
      <w:r w:rsidRPr="007E5F45">
        <w:rPr>
          <w:b/>
          <w:bCs/>
        </w:rPr>
        <w:t>ФПК (30404, 61 рублей), составляет  10010,61 рубл</w:t>
      </w:r>
      <w:bookmarkStart w:id="0" w:name="_GoBack"/>
      <w:bookmarkEnd w:id="0"/>
      <w:r w:rsidRPr="007E5F45">
        <w:rPr>
          <w:b/>
          <w:bCs/>
        </w:rPr>
        <w:t>ей, или   49%.</w:t>
      </w:r>
    </w:p>
    <w:p w:rsidR="005C3EB2" w:rsidRDefault="005C3EB2" w:rsidP="00F750FC">
      <w:pPr>
        <w:pStyle w:val="headertext"/>
        <w:spacing w:before="0" w:beforeAutospacing="0" w:after="0" w:afterAutospacing="0"/>
        <w:ind w:firstLine="540"/>
        <w:jc w:val="both"/>
        <w:rPr>
          <w:b/>
          <w:bCs/>
          <w:color w:val="FF0000"/>
        </w:rPr>
      </w:pPr>
    </w:p>
    <w:p w:rsidR="0011127D" w:rsidRDefault="0011127D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1127D">
        <w:rPr>
          <w:rFonts w:ascii="Times New Roman" w:hAnsi="Times New Roman" w:cs="Times New Roman"/>
          <w:i/>
          <w:sz w:val="24"/>
          <w:szCs w:val="24"/>
        </w:rPr>
        <w:t xml:space="preserve">Соотношение  величины официального прожиточного минимума трудоспособного человека и прожиточного минимума, рассчитанного по методике Федерации профсоюзов Камчатки </w:t>
      </w:r>
      <w:r w:rsidRPr="008B4E39">
        <w:rPr>
          <w:rFonts w:ascii="Times New Roman" w:hAnsi="Times New Roman" w:cs="Times New Roman"/>
          <w:i/>
          <w:sz w:val="24"/>
          <w:szCs w:val="24"/>
        </w:rPr>
        <w:t xml:space="preserve">за период </w:t>
      </w:r>
    </w:p>
    <w:p w:rsidR="0011127D" w:rsidRDefault="0011127D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2A5C">
        <w:rPr>
          <w:rFonts w:ascii="Times New Roman" w:hAnsi="Times New Roman" w:cs="Times New Roman"/>
          <w:i/>
          <w:sz w:val="24"/>
          <w:szCs w:val="24"/>
        </w:rPr>
        <w:t>1 января 2017 года (</w:t>
      </w:r>
      <w:proofErr w:type="gramStart"/>
      <w:r w:rsidRPr="007E5F45">
        <w:rPr>
          <w:rFonts w:ascii="Times New Roman" w:hAnsi="Times New Roman" w:cs="Times New Roman"/>
          <w:i/>
          <w:sz w:val="24"/>
          <w:szCs w:val="24"/>
        </w:rPr>
        <w:t>IV</w:t>
      </w:r>
      <w:proofErr w:type="gramEnd"/>
      <w:r w:rsidRPr="00722A5C">
        <w:rPr>
          <w:rFonts w:ascii="Times New Roman" w:hAnsi="Times New Roman" w:cs="Times New Roman"/>
          <w:i/>
          <w:sz w:val="24"/>
          <w:szCs w:val="24"/>
        </w:rPr>
        <w:t xml:space="preserve">квартал 2016г.) </w:t>
      </w:r>
      <w:r w:rsidRPr="007E5F4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E5F45" w:rsidRPr="007E5F45">
        <w:rPr>
          <w:rFonts w:ascii="Times New Roman" w:hAnsi="Times New Roman" w:cs="Times New Roman"/>
          <w:i/>
          <w:sz w:val="24"/>
          <w:szCs w:val="24"/>
        </w:rPr>
        <w:t>13</w:t>
      </w:r>
      <w:r w:rsidRPr="007E5F45">
        <w:rPr>
          <w:rFonts w:ascii="Times New Roman" w:hAnsi="Times New Roman" w:cs="Times New Roman"/>
          <w:i/>
          <w:sz w:val="24"/>
          <w:szCs w:val="24"/>
        </w:rPr>
        <w:t xml:space="preserve"> сентября </w:t>
      </w:r>
      <w:r w:rsidRPr="00722A5C">
        <w:rPr>
          <w:rFonts w:ascii="Times New Roman" w:hAnsi="Times New Roman" w:cs="Times New Roman"/>
          <w:i/>
          <w:sz w:val="24"/>
          <w:szCs w:val="24"/>
        </w:rPr>
        <w:t>2017 года (</w:t>
      </w:r>
      <w:r w:rsidRPr="007E5F45">
        <w:rPr>
          <w:rFonts w:ascii="Times New Roman" w:hAnsi="Times New Roman" w:cs="Times New Roman"/>
          <w:i/>
          <w:sz w:val="24"/>
          <w:szCs w:val="24"/>
        </w:rPr>
        <w:t>II</w:t>
      </w:r>
      <w:r w:rsidRPr="00722A5C">
        <w:rPr>
          <w:rFonts w:ascii="Times New Roman" w:hAnsi="Times New Roman" w:cs="Times New Roman"/>
          <w:i/>
          <w:sz w:val="24"/>
          <w:szCs w:val="24"/>
        </w:rPr>
        <w:t xml:space="preserve"> квартал 2017г.)</w:t>
      </w:r>
      <w:r w:rsidR="002222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3EB2" w:rsidRPr="002C2094" w:rsidRDefault="005C3EB2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A13AC" w:rsidRDefault="00390C57" w:rsidP="00F750FC">
      <w:pPr>
        <w:pStyle w:val="headertext"/>
        <w:spacing w:before="0" w:beforeAutospacing="0" w:after="0" w:afterAutospacing="0"/>
        <w:ind w:firstLine="540"/>
        <w:jc w:val="center"/>
      </w:pPr>
      <w:r>
        <w:rPr>
          <w:noProof/>
        </w:rPr>
        <w:drawing>
          <wp:inline distT="0" distB="0" distL="0" distR="0" wp14:anchorId="5B2972F8" wp14:editId="602C731A">
            <wp:extent cx="5940425" cy="3166714"/>
            <wp:effectExtent l="0" t="0" r="2222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EB2" w:rsidRDefault="005C3EB2" w:rsidP="00F750FC">
      <w:pPr>
        <w:pStyle w:val="headertext"/>
        <w:spacing w:before="0" w:beforeAutospacing="0" w:after="0" w:afterAutospacing="0"/>
        <w:ind w:firstLine="540"/>
        <w:jc w:val="both"/>
      </w:pPr>
    </w:p>
    <w:p w:rsidR="002C2094" w:rsidRDefault="00C93A5A" w:rsidP="00F750FC">
      <w:pPr>
        <w:pStyle w:val="headertext"/>
        <w:spacing w:before="0" w:beforeAutospacing="0" w:after="0" w:afterAutospacing="0"/>
        <w:ind w:firstLine="540"/>
        <w:jc w:val="both"/>
      </w:pPr>
      <w:r w:rsidRPr="005C3EB2">
        <w:t>Федерация профсоюзов Камчатки</w:t>
      </w:r>
      <w:r w:rsidR="002C2094" w:rsidRPr="002C2094">
        <w:t xml:space="preserve"> неоднократно заявляла, что составляющая прожиточного минимума – потребительская корзина недостаточна для адекватной оценки потребностей жителя нашего региона. На сегодняшний день, учитывая инфляцию и другие экономические показатели, </w:t>
      </w:r>
      <w:r w:rsidR="007E1407">
        <w:t xml:space="preserve">реальная </w:t>
      </w:r>
      <w:r w:rsidR="002C2094" w:rsidRPr="002C2094">
        <w:t xml:space="preserve">средняя заработная плата составляет 1,5-2 официального прожиточного минимума в регионе. Однако если брать во внимание </w:t>
      </w:r>
      <w:r>
        <w:t>прожиточный минимум</w:t>
      </w:r>
      <w:r w:rsidR="002C2094" w:rsidRPr="002C2094">
        <w:t xml:space="preserve">, который рассчитывает </w:t>
      </w:r>
      <w:r w:rsidRPr="005C3EB2">
        <w:t>Федерация профсоюзов Камчатки</w:t>
      </w:r>
      <w:r w:rsidR="002C2094" w:rsidRPr="002C2094">
        <w:t xml:space="preserve"> ежемесячно, </w:t>
      </w:r>
      <w:r>
        <w:t>в отличие от поквартального расчета Правительством Камчатского края,</w:t>
      </w:r>
      <w:r w:rsidR="002C2094" w:rsidRPr="002C2094">
        <w:t xml:space="preserve"> то</w:t>
      </w:r>
      <w:r w:rsidR="007E1407">
        <w:t xml:space="preserve"> реальная</w:t>
      </w:r>
      <w:r w:rsidR="002C2094" w:rsidRPr="002C2094">
        <w:t xml:space="preserve"> средняя зарплата едва превысит этот показатель.</w:t>
      </w:r>
    </w:p>
    <w:p w:rsidR="00EE4976" w:rsidRDefault="003D37F0" w:rsidP="00F750FC">
      <w:pPr>
        <w:pStyle w:val="headertext"/>
        <w:spacing w:before="0" w:beforeAutospacing="0" w:after="0" w:afterAutospacing="0"/>
        <w:ind w:firstLine="540"/>
        <w:jc w:val="both"/>
      </w:pPr>
      <w:proofErr w:type="gramStart"/>
      <w:r w:rsidRPr="00A226D2">
        <w:rPr>
          <w:b/>
        </w:rPr>
        <w:t>Так, индекс потребительских цен по данным Камчатстата (</w:t>
      </w:r>
      <w:r w:rsidR="002809CB">
        <w:rPr>
          <w:b/>
        </w:rPr>
        <w:t>январь</w:t>
      </w:r>
      <w:r w:rsidRPr="00A226D2">
        <w:rPr>
          <w:b/>
        </w:rPr>
        <w:t xml:space="preserve"> 201</w:t>
      </w:r>
      <w:r w:rsidR="00372301">
        <w:rPr>
          <w:b/>
        </w:rPr>
        <w:t>7</w:t>
      </w:r>
      <w:r w:rsidRPr="00A226D2">
        <w:rPr>
          <w:b/>
        </w:rPr>
        <w:t>г. к июню 201</w:t>
      </w:r>
      <w:r w:rsidR="002809CB">
        <w:rPr>
          <w:b/>
        </w:rPr>
        <w:t>7</w:t>
      </w:r>
      <w:r w:rsidRPr="00A226D2">
        <w:rPr>
          <w:b/>
        </w:rPr>
        <w:t xml:space="preserve">г.) составляет </w:t>
      </w:r>
      <w:r w:rsidR="002809CB">
        <w:rPr>
          <w:b/>
        </w:rPr>
        <w:t>4,6</w:t>
      </w:r>
      <w:r w:rsidRPr="00A226D2">
        <w:rPr>
          <w:b/>
        </w:rPr>
        <w:t>%, Реальные располагаемые денежные доходы населения (доходы за вычетом обязательных платежей, скорректированные на индекс потребительских цен) в июне 2017 года по сравнению с июнем 2016 года снизились на 6,1%.</w:t>
      </w:r>
      <w:r>
        <w:t xml:space="preserve">  </w:t>
      </w:r>
      <w:r w:rsidR="005C3EB2" w:rsidRPr="005C3EB2">
        <w:t>Иными словами, не умереть с голоду, обуться и одеться, чтобы не замерзнуть, заплатив при этом за квартиру, в</w:t>
      </w:r>
      <w:proofErr w:type="gramEnd"/>
      <w:r w:rsidR="005C3EB2" w:rsidRPr="005C3EB2">
        <w:t xml:space="preserve"> </w:t>
      </w:r>
      <w:proofErr w:type="gramStart"/>
      <w:r w:rsidR="005C3EB2" w:rsidRPr="005C3EB2">
        <w:t>Камчатском</w:t>
      </w:r>
      <w:proofErr w:type="gramEnd"/>
      <w:r w:rsidR="005C3EB2" w:rsidRPr="005C3EB2">
        <w:t xml:space="preserve"> крае с повышением официального прожиточного минимума на </w:t>
      </w:r>
      <w:r w:rsidR="005C3EB2">
        <w:t>5</w:t>
      </w:r>
      <w:r w:rsidR="005C3EB2" w:rsidRPr="005C3EB2">
        <w:t xml:space="preserve"> рублей легче не стало.</w:t>
      </w:r>
    </w:p>
    <w:p w:rsidR="00F24527" w:rsidRDefault="00175359" w:rsidP="00F750FC">
      <w:pPr>
        <w:pStyle w:val="headertext"/>
        <w:spacing w:before="0" w:beforeAutospacing="0" w:after="0" w:afterAutospacing="0"/>
        <w:ind w:firstLine="540"/>
        <w:jc w:val="both"/>
      </w:pPr>
      <w:r w:rsidRPr="005C3EB2">
        <w:t xml:space="preserve">Федерация профсоюзов Камчатки продолжает ежемесячно проводить </w:t>
      </w:r>
      <w:r w:rsidRPr="00512136">
        <w:t>анализ цен на основные продукты питания, отражающие содержание минимальной потребительской корзины в Камчатском крае</w:t>
      </w:r>
      <w:r>
        <w:t xml:space="preserve">. </w:t>
      </w:r>
      <w:r w:rsidR="00F24527" w:rsidRPr="00A226D2">
        <w:rPr>
          <w:b/>
        </w:rPr>
        <w:t>С начала 2017 года по данным мониторинга, проведенного Федерацией профсоюзов Камчатки</w:t>
      </w:r>
      <w:r w:rsidR="00C93A5A">
        <w:rPr>
          <w:b/>
        </w:rPr>
        <w:t>,</w:t>
      </w:r>
      <w:r w:rsidR="00F24527" w:rsidRPr="00A226D2">
        <w:rPr>
          <w:b/>
        </w:rPr>
        <w:t xml:space="preserve"> цены на продукты питания увеличились, в среднем, на 10%.  А на </w:t>
      </w:r>
      <w:r w:rsidR="00A226D2">
        <w:rPr>
          <w:b/>
        </w:rPr>
        <w:t>отдельные продукты питания</w:t>
      </w:r>
      <w:r w:rsidR="00F24527" w:rsidRPr="00A226D2">
        <w:rPr>
          <w:b/>
        </w:rPr>
        <w:t xml:space="preserve"> более</w:t>
      </w:r>
      <w:proofErr w:type="gramStart"/>
      <w:r w:rsidR="00F24527" w:rsidRPr="00A226D2">
        <w:rPr>
          <w:b/>
        </w:rPr>
        <w:t>,</w:t>
      </w:r>
      <w:proofErr w:type="gramEnd"/>
      <w:r w:rsidR="00F24527" w:rsidRPr="00A226D2">
        <w:rPr>
          <w:b/>
        </w:rPr>
        <w:t xml:space="preserve"> чем на 20%.</w:t>
      </w:r>
      <w:r w:rsidR="00F24527" w:rsidRPr="00F24527">
        <w:t xml:space="preserve"> </w:t>
      </w:r>
    </w:p>
    <w:p w:rsidR="007E5F45" w:rsidRDefault="007E5F45" w:rsidP="00F750FC">
      <w:pPr>
        <w:pStyle w:val="headertext"/>
        <w:spacing w:before="0" w:beforeAutospacing="0" w:after="0" w:afterAutospacing="0"/>
        <w:ind w:firstLine="540"/>
        <w:jc w:val="both"/>
      </w:pPr>
    </w:p>
    <w:p w:rsidR="007E5F45" w:rsidRDefault="007E5F45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4653">
        <w:rPr>
          <w:rFonts w:ascii="Times New Roman" w:eastAsia="Times New Roman" w:hAnsi="Times New Roman" w:cs="Times New Roman"/>
          <w:i/>
          <w:sz w:val="24"/>
          <w:szCs w:val="24"/>
        </w:rPr>
        <w:t xml:space="preserve">Динамика цен г. Петропавловска-Камчатского </w:t>
      </w:r>
    </w:p>
    <w:p w:rsidR="007E5F45" w:rsidRPr="003A4653" w:rsidRDefault="007E5F45" w:rsidP="00F750F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3A4653">
        <w:rPr>
          <w:rFonts w:ascii="Times New Roman" w:eastAsia="Times New Roman" w:hAnsi="Times New Roman" w:cs="Times New Roman"/>
          <w:i/>
          <w:sz w:val="24"/>
          <w:szCs w:val="24"/>
        </w:rPr>
        <w:t xml:space="preserve">за период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январ</w:t>
      </w:r>
      <w:r w:rsidRPr="003A4653">
        <w:rPr>
          <w:rFonts w:ascii="Times New Roman" w:eastAsia="Times New Roman" w:hAnsi="Times New Roman" w:cs="Times New Roman"/>
          <w:i/>
          <w:sz w:val="24"/>
          <w:szCs w:val="24"/>
        </w:rPr>
        <w:t>ь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3A4653">
        <w:rPr>
          <w:rFonts w:ascii="Times New Roman" w:eastAsia="Times New Roman" w:hAnsi="Times New Roman" w:cs="Times New Roman"/>
          <w:i/>
          <w:sz w:val="24"/>
          <w:szCs w:val="24"/>
        </w:rPr>
        <w:t xml:space="preserve">г.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август</w:t>
      </w:r>
      <w:r w:rsidRPr="003A4653">
        <w:rPr>
          <w:rFonts w:ascii="Times New Roman" w:eastAsia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3A465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3A465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2222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222220">
        <w:rPr>
          <w:rFonts w:ascii="Times New Roman" w:eastAsia="Times New Roman" w:hAnsi="Times New Roman" w:cs="Times New Roman"/>
          <w:i/>
          <w:sz w:val="24"/>
          <w:szCs w:val="24"/>
        </w:rPr>
        <w:t>руб.)</w:t>
      </w:r>
    </w:p>
    <w:p w:rsidR="00F24527" w:rsidRDefault="00F24527" w:rsidP="00B80C47">
      <w:pPr>
        <w:pStyle w:val="headertext"/>
        <w:spacing w:before="0" w:beforeAutospacing="0" w:after="0" w:afterAutospacing="0"/>
        <w:jc w:val="both"/>
      </w:pP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2264"/>
        <w:gridCol w:w="1116"/>
        <w:gridCol w:w="1273"/>
        <w:gridCol w:w="1132"/>
        <w:gridCol w:w="1132"/>
        <w:gridCol w:w="1132"/>
        <w:gridCol w:w="1132"/>
        <w:gridCol w:w="1274"/>
      </w:tblGrid>
      <w:tr w:rsidR="00F24527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15.01.2017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15.04.2017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7E5F45"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7E5F45"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15.08.2017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81F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макаронные изделия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бобовы</w:t>
            </w:r>
            <w:proofErr w:type="gramStart"/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горох)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рис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гречка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bCs/>
                <w:lang w:eastAsia="ru-RU"/>
              </w:rPr>
              <w:t>Картофель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 xml:space="preserve">морковь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лук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чеснок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177,6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230,4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177,6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капуста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7E5F45" w:rsidRPr="00F24527" w:rsidTr="00C93A5A">
        <w:trPr>
          <w:trHeight w:val="33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Сахар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7E5F45" w:rsidRPr="00F24527" w:rsidTr="00C93A5A">
        <w:trPr>
          <w:trHeight w:val="26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bCs/>
                <w:lang w:eastAsia="ru-RU"/>
              </w:rPr>
              <w:t>Мясопродукты</w:t>
            </w: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563,5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563,5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 xml:space="preserve">птица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215,4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</w:tr>
      <w:tr w:rsidR="007E5F45" w:rsidRPr="00F24527" w:rsidTr="00C93A5A">
        <w:trPr>
          <w:trHeight w:val="5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Молоко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 xml:space="preserve">кефир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197,5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</w:tr>
      <w:tr w:rsidR="007E5F45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lang w:eastAsia="ru-RU"/>
              </w:rPr>
              <w:t xml:space="preserve">сыр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</w:tr>
      <w:tr w:rsidR="00F24527" w:rsidRPr="00F24527" w:rsidTr="00C93A5A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F24527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bCs/>
                <w:lang w:eastAsia="ru-RU"/>
              </w:rPr>
              <w:t>Яйца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7E5F45" w:rsidRPr="00F24527" w:rsidTr="00C93A5A">
        <w:trPr>
          <w:trHeight w:val="34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27" w:rsidRPr="007E5F45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245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Масло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27" w:rsidRPr="007E5F45" w:rsidRDefault="00F24527" w:rsidP="00F7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45">
              <w:rPr>
                <w:rFonts w:ascii="Times New Roman" w:eastAsia="Times New Roman" w:hAnsi="Times New Roman" w:cs="Times New Roman"/>
                <w:lang w:eastAsia="ru-RU"/>
              </w:rPr>
              <w:t>451,1</w:t>
            </w:r>
          </w:p>
        </w:tc>
      </w:tr>
    </w:tbl>
    <w:p w:rsidR="007E1407" w:rsidRDefault="007E1407" w:rsidP="00F750FC">
      <w:pPr>
        <w:pStyle w:val="headertext"/>
        <w:spacing w:before="0" w:beforeAutospacing="0" w:after="0" w:afterAutospacing="0"/>
        <w:ind w:firstLine="540"/>
        <w:jc w:val="both"/>
      </w:pPr>
    </w:p>
    <w:p w:rsidR="00650A47" w:rsidRDefault="00650A47" w:rsidP="00F750FC">
      <w:pPr>
        <w:pStyle w:val="ac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данной таблице также отображена динамика роста среднего показателя стоимости на продукты питания, включенные в потребительскую корзину Федерации профсоюзов Камчатки.</w:t>
      </w:r>
    </w:p>
    <w:p w:rsidR="00E9381F" w:rsidRPr="00C65337" w:rsidRDefault="00E9381F" w:rsidP="00F750FC">
      <w:pPr>
        <w:pStyle w:val="ac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12136">
        <w:rPr>
          <w:rFonts w:ascii="Times New Roman" w:eastAsia="Times New Roman" w:hAnsi="Times New Roman"/>
          <w:sz w:val="24"/>
          <w:szCs w:val="24"/>
        </w:rPr>
        <w:t xml:space="preserve">В процессе анализа и сравнения цен на основные продукты питания, отражающие содержание минимальной потребительской корзины в Камчатском крае, отмечается рост стоимости мясной и молочной продукции, бакалеи, кондитерский изделий и др. </w:t>
      </w:r>
      <w:r w:rsidR="00C65337" w:rsidRPr="00C65337">
        <w:rPr>
          <w:rFonts w:ascii="Times New Roman" w:eastAsia="Times New Roman" w:hAnsi="Times New Roman"/>
          <w:b/>
          <w:sz w:val="24"/>
          <w:szCs w:val="24"/>
        </w:rPr>
        <w:t xml:space="preserve">В тоже время </w:t>
      </w:r>
      <w:r w:rsidR="00C93A5A">
        <w:rPr>
          <w:rFonts w:ascii="Times New Roman" w:eastAsia="Times New Roman" w:hAnsi="Times New Roman"/>
          <w:b/>
          <w:sz w:val="24"/>
          <w:szCs w:val="24"/>
        </w:rPr>
        <w:t>отмечаются</w:t>
      </w:r>
      <w:r w:rsidR="00C65337" w:rsidRPr="00C65337">
        <w:rPr>
          <w:rFonts w:ascii="Times New Roman" w:eastAsia="Times New Roman" w:hAnsi="Times New Roman"/>
          <w:b/>
          <w:sz w:val="24"/>
          <w:szCs w:val="24"/>
        </w:rPr>
        <w:t xml:space="preserve"> позитивные тенденции по стабилизации и снижению цен </w:t>
      </w:r>
      <w:r w:rsidR="00C93A5A">
        <w:rPr>
          <w:rFonts w:ascii="Times New Roman" w:eastAsia="Times New Roman" w:hAnsi="Times New Roman"/>
          <w:b/>
          <w:sz w:val="24"/>
          <w:szCs w:val="24"/>
        </w:rPr>
        <w:t>на хлебную и мучную продукцию, яйцо, чай, кофе и другие</w:t>
      </w:r>
      <w:r w:rsidR="000C39FD">
        <w:rPr>
          <w:rFonts w:ascii="Times New Roman" w:eastAsia="Times New Roman" w:hAnsi="Times New Roman"/>
          <w:b/>
          <w:sz w:val="24"/>
          <w:szCs w:val="24"/>
        </w:rPr>
        <w:t xml:space="preserve"> безалкогольные</w:t>
      </w:r>
      <w:r w:rsidR="00C93A5A">
        <w:rPr>
          <w:rFonts w:ascii="Times New Roman" w:eastAsia="Times New Roman" w:hAnsi="Times New Roman"/>
          <w:b/>
          <w:sz w:val="24"/>
          <w:szCs w:val="24"/>
        </w:rPr>
        <w:t xml:space="preserve"> напитки. </w:t>
      </w:r>
      <w:proofErr w:type="gramEnd"/>
    </w:p>
    <w:p w:rsidR="0017652E" w:rsidRPr="0017652E" w:rsidRDefault="00E9381F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65337">
        <w:rPr>
          <w:rFonts w:ascii="Times New Roman" w:eastAsia="Times New Roman" w:hAnsi="Times New Roman"/>
          <w:b/>
          <w:sz w:val="24"/>
          <w:szCs w:val="24"/>
        </w:rPr>
        <w:t xml:space="preserve">Федерация профсоюзов Камчатки </w:t>
      </w:r>
      <w:r w:rsidR="00C93A5A">
        <w:rPr>
          <w:rFonts w:ascii="Times New Roman" w:eastAsia="Times New Roman" w:hAnsi="Times New Roman"/>
          <w:b/>
          <w:sz w:val="24"/>
          <w:szCs w:val="24"/>
        </w:rPr>
        <w:t>в</w:t>
      </w:r>
      <w:r w:rsidR="00C93A5A" w:rsidRPr="00C65337">
        <w:rPr>
          <w:rFonts w:ascii="Times New Roman" w:eastAsia="Times New Roman" w:hAnsi="Times New Roman"/>
          <w:b/>
          <w:sz w:val="24"/>
          <w:szCs w:val="24"/>
        </w:rPr>
        <w:t xml:space="preserve">первые </w:t>
      </w:r>
      <w:r w:rsidRPr="00C65337">
        <w:rPr>
          <w:rFonts w:ascii="Times New Roman" w:eastAsia="Times New Roman" w:hAnsi="Times New Roman"/>
          <w:b/>
          <w:sz w:val="24"/>
          <w:szCs w:val="24"/>
        </w:rPr>
        <w:t xml:space="preserve">отмечает отсутствие </w:t>
      </w:r>
      <w:r w:rsidR="00C93A5A">
        <w:rPr>
          <w:rFonts w:ascii="Times New Roman" w:eastAsia="Times New Roman" w:hAnsi="Times New Roman"/>
          <w:b/>
          <w:sz w:val="24"/>
          <w:szCs w:val="24"/>
        </w:rPr>
        <w:t>снижения</w:t>
      </w:r>
      <w:r w:rsidRPr="00C65337">
        <w:rPr>
          <w:rFonts w:ascii="Times New Roman" w:eastAsia="Times New Roman" w:hAnsi="Times New Roman"/>
          <w:b/>
          <w:sz w:val="24"/>
          <w:szCs w:val="24"/>
        </w:rPr>
        <w:t xml:space="preserve"> цен на плодоовощную продукцию, которая ежегодно отмечалась в летний период в связи с сезонностью.</w:t>
      </w:r>
      <w:r w:rsidRPr="0017652E">
        <w:rPr>
          <w:rFonts w:ascii="Times New Roman" w:eastAsia="Times New Roman" w:hAnsi="Times New Roman"/>
          <w:sz w:val="24"/>
          <w:szCs w:val="24"/>
        </w:rPr>
        <w:t xml:space="preserve"> </w:t>
      </w:r>
      <w:r w:rsidR="00C93A5A">
        <w:rPr>
          <w:rFonts w:ascii="Times New Roman" w:eastAsia="Times New Roman" w:hAnsi="Times New Roman"/>
          <w:sz w:val="24"/>
          <w:szCs w:val="24"/>
        </w:rPr>
        <w:t>Более того, стоимость к</w:t>
      </w:r>
      <w:r w:rsidR="00A226D2" w:rsidRPr="0017652E">
        <w:rPr>
          <w:rFonts w:ascii="Times New Roman" w:eastAsia="Times New Roman" w:hAnsi="Times New Roman"/>
          <w:sz w:val="24"/>
          <w:szCs w:val="24"/>
        </w:rPr>
        <w:t xml:space="preserve">амчатских овощей в магазинах края по-прежнему остается значительно выше, чем привозных. Одни из самых дорогих – местные помидоры. Их цена варьируется от 350 и выше рублей за </w:t>
      </w:r>
      <w:proofErr w:type="gramStart"/>
      <w:r w:rsidR="00A226D2" w:rsidRPr="0017652E">
        <w:rPr>
          <w:rFonts w:ascii="Times New Roman" w:eastAsia="Times New Roman" w:hAnsi="Times New Roman"/>
          <w:sz w:val="24"/>
          <w:szCs w:val="24"/>
        </w:rPr>
        <w:t>кг</w:t>
      </w:r>
      <w:proofErr w:type="gramEnd"/>
      <w:r w:rsidR="00A226D2" w:rsidRPr="0017652E">
        <w:rPr>
          <w:rFonts w:ascii="Times New Roman" w:eastAsia="Times New Roman" w:hAnsi="Times New Roman"/>
          <w:sz w:val="24"/>
          <w:szCs w:val="24"/>
        </w:rPr>
        <w:t>. Таким образом,  помидоры, привезенные с Китая или Приморья, в стоимость которых уже включена</w:t>
      </w:r>
      <w:r w:rsidR="00650A47" w:rsidRPr="0017652E">
        <w:rPr>
          <w:rFonts w:ascii="Times New Roman" w:eastAsia="Times New Roman" w:hAnsi="Times New Roman"/>
          <w:sz w:val="24"/>
          <w:szCs w:val="24"/>
        </w:rPr>
        <w:t xml:space="preserve"> стоимость</w:t>
      </w:r>
      <w:r w:rsidR="00A226D2" w:rsidRPr="0017652E">
        <w:rPr>
          <w:rFonts w:ascii="Times New Roman" w:eastAsia="Times New Roman" w:hAnsi="Times New Roman"/>
          <w:sz w:val="24"/>
          <w:szCs w:val="24"/>
        </w:rPr>
        <w:t xml:space="preserve"> доставк</w:t>
      </w:r>
      <w:r w:rsidR="00650A47" w:rsidRPr="0017652E">
        <w:rPr>
          <w:rFonts w:ascii="Times New Roman" w:eastAsia="Times New Roman" w:hAnsi="Times New Roman"/>
          <w:sz w:val="24"/>
          <w:szCs w:val="24"/>
        </w:rPr>
        <w:t>и</w:t>
      </w:r>
      <w:r w:rsidR="00A226D2" w:rsidRPr="0017652E">
        <w:rPr>
          <w:rFonts w:ascii="Times New Roman" w:eastAsia="Times New Roman" w:hAnsi="Times New Roman"/>
          <w:sz w:val="24"/>
          <w:szCs w:val="24"/>
        </w:rPr>
        <w:t xml:space="preserve">, более доступны населению Камчатского края, нежели выращенные на «своей земле». </w:t>
      </w:r>
      <w:r w:rsidR="0017652E" w:rsidRPr="0017652E">
        <w:rPr>
          <w:rFonts w:ascii="Times New Roman" w:eastAsia="Times New Roman" w:hAnsi="Times New Roman"/>
          <w:sz w:val="24"/>
          <w:szCs w:val="24"/>
        </w:rPr>
        <w:t>Конечно, надо поддерживать местных производителей, но если цена производства Камчатских овощей на порядок, а то и два, выше привозной продукции, то невольно возникает</w:t>
      </w:r>
      <w:r w:rsidR="003A7B04">
        <w:rPr>
          <w:rFonts w:ascii="Times New Roman" w:eastAsia="Times New Roman" w:hAnsi="Times New Roman"/>
          <w:sz w:val="24"/>
          <w:szCs w:val="24"/>
        </w:rPr>
        <w:t xml:space="preserve"> вопрос:</w:t>
      </w:r>
      <w:r w:rsidR="0017652E" w:rsidRPr="0017652E">
        <w:rPr>
          <w:rFonts w:ascii="Times New Roman" w:eastAsia="Times New Roman" w:hAnsi="Times New Roman"/>
          <w:sz w:val="24"/>
          <w:szCs w:val="24"/>
        </w:rPr>
        <w:t xml:space="preserve"> за чей счет идет поддержка фермеров и в чем смысл такого местечкового «</w:t>
      </w:r>
      <w:proofErr w:type="spellStart"/>
      <w:r w:rsidR="0017652E" w:rsidRPr="0017652E">
        <w:rPr>
          <w:rFonts w:ascii="Times New Roman" w:eastAsia="Times New Roman" w:hAnsi="Times New Roman"/>
          <w:sz w:val="24"/>
          <w:szCs w:val="24"/>
        </w:rPr>
        <w:t>импортозамещения</w:t>
      </w:r>
      <w:proofErr w:type="spellEnd"/>
      <w:r w:rsidR="0017652E" w:rsidRPr="0017652E">
        <w:rPr>
          <w:rFonts w:ascii="Times New Roman" w:eastAsia="Times New Roman" w:hAnsi="Times New Roman"/>
          <w:sz w:val="24"/>
          <w:szCs w:val="24"/>
        </w:rPr>
        <w:t>»?</w:t>
      </w:r>
    </w:p>
    <w:p w:rsidR="00E566EA" w:rsidRDefault="00E566EA" w:rsidP="00F750FC">
      <w:pPr>
        <w:pStyle w:val="ac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93A5A" w:rsidRDefault="00C93A5A" w:rsidP="00C93A5A">
      <w:pPr>
        <w:pStyle w:val="ac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Динамика</w:t>
      </w:r>
      <w:r w:rsidRPr="00222220">
        <w:rPr>
          <w:rFonts w:ascii="Times New Roman" w:eastAsia="Times New Roman" w:hAnsi="Times New Roman"/>
          <w:b/>
          <w:sz w:val="24"/>
          <w:szCs w:val="24"/>
        </w:rPr>
        <w:t xml:space="preserve"> изменения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средневзвешенного курса валюты</w:t>
      </w:r>
      <w:r w:rsidRPr="0022222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показывает</w:t>
      </w:r>
      <w:r w:rsidRPr="00222220">
        <w:rPr>
          <w:rFonts w:ascii="Times New Roman" w:eastAsia="Times New Roman" w:hAnsi="Times New Roman"/>
          <w:b/>
          <w:sz w:val="24"/>
          <w:szCs w:val="24"/>
        </w:rPr>
        <w:t xml:space="preserve"> отсутствие зависимости роста цен на продукты первой необходимости  от роста/падения курса доллара США за период январь 2017г.- август 2017г. </w:t>
      </w:r>
    </w:p>
    <w:p w:rsidR="00C93A5A" w:rsidRPr="00222220" w:rsidRDefault="00C93A5A" w:rsidP="00C93A5A">
      <w:pPr>
        <w:pStyle w:val="ac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566EA" w:rsidRDefault="007E5F45" w:rsidP="00B80C4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Динамика</w:t>
      </w:r>
      <w:r w:rsidR="00E566EA" w:rsidRPr="00CE1000"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изменения средневзвешенного курса </w:t>
      </w:r>
      <w:r w:rsidR="00E566EA">
        <w:rPr>
          <w:rFonts w:ascii="Times New Roman" w:eastAsia="Times New Roman" w:hAnsi="Times New Roman" w:cs="Times New Roman"/>
          <w:i/>
          <w:sz w:val="24"/>
          <w:szCs w:val="24"/>
        </w:rPr>
        <w:t>доллара за период январь 2017</w:t>
      </w:r>
      <w:proofErr w:type="gramStart"/>
      <w:r w:rsidR="00E566EA">
        <w:rPr>
          <w:rFonts w:ascii="Times New Roman" w:eastAsia="Times New Roman" w:hAnsi="Times New Roman" w:cs="Times New Roman"/>
          <w:i/>
          <w:sz w:val="24"/>
          <w:szCs w:val="24"/>
        </w:rPr>
        <w:t>г-</w:t>
      </w:r>
      <w:proofErr w:type="gramEnd"/>
      <w:r w:rsidR="00E566EA">
        <w:rPr>
          <w:rFonts w:ascii="Times New Roman" w:eastAsia="Times New Roman" w:hAnsi="Times New Roman" w:cs="Times New Roman"/>
          <w:i/>
          <w:sz w:val="24"/>
          <w:szCs w:val="24"/>
        </w:rPr>
        <w:t xml:space="preserve"> август 2017г..</w:t>
      </w:r>
    </w:p>
    <w:p w:rsidR="00E566EA" w:rsidRDefault="00E566EA" w:rsidP="00F750FC">
      <w:pPr>
        <w:pStyle w:val="ac"/>
        <w:ind w:firstLine="54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2FB43F5" wp14:editId="6C6AD4F5">
            <wp:simplePos x="0" y="0"/>
            <wp:positionH relativeFrom="column">
              <wp:posOffset>-251460</wp:posOffset>
            </wp:positionH>
            <wp:positionV relativeFrom="paragraph">
              <wp:posOffset>32385</wp:posOffset>
            </wp:positionV>
            <wp:extent cx="6105525" cy="27813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4" t="26607" r="18880" b="20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EA" w:rsidRDefault="00E566EA" w:rsidP="00F750FC">
      <w:pPr>
        <w:pStyle w:val="ac"/>
        <w:ind w:firstLine="540"/>
        <w:jc w:val="both"/>
        <w:rPr>
          <w:noProof/>
          <w:sz w:val="24"/>
          <w:szCs w:val="24"/>
          <w:lang w:eastAsia="ru-RU"/>
        </w:rPr>
      </w:pPr>
    </w:p>
    <w:p w:rsidR="00E566EA" w:rsidRDefault="00E566EA" w:rsidP="00F750FC">
      <w:pPr>
        <w:pStyle w:val="ac"/>
        <w:ind w:firstLine="540"/>
        <w:jc w:val="both"/>
        <w:rPr>
          <w:noProof/>
          <w:sz w:val="24"/>
          <w:szCs w:val="24"/>
          <w:lang w:eastAsia="ru-RU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566EA" w:rsidRDefault="00E566EA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E5F45" w:rsidRDefault="007E5F45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E5F45" w:rsidRPr="00CE1000" w:rsidRDefault="007E5F45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</w:t>
      </w:r>
      <w:r w:rsidRPr="00CE1000">
        <w:rPr>
          <w:rFonts w:ascii="Times New Roman" w:eastAsia="Times New Roman" w:hAnsi="Times New Roman" w:cs="Times New Roman"/>
          <w:i/>
          <w:sz w:val="24"/>
          <w:szCs w:val="24"/>
        </w:rPr>
        <w:t xml:space="preserve"> изменения средневзвешенного курса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доллара за период январь 2017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г-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август 2017г..</w:t>
      </w:r>
    </w:p>
    <w:p w:rsidR="00431821" w:rsidRDefault="00431821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5670"/>
      </w:tblGrid>
      <w:tr w:rsidR="00EC5335" w:rsidRPr="00431821" w:rsidTr="008E0C85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$</w:t>
            </w:r>
          </w:p>
        </w:tc>
      </w:tr>
      <w:tr w:rsidR="00EC5335" w:rsidRPr="00431821" w:rsidTr="008E0C85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Курс доллара в январ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Январь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59,6299</w:t>
            </w:r>
          </w:p>
        </w:tc>
      </w:tr>
      <w:tr w:rsidR="00EC5335" w:rsidRPr="00431821" w:rsidTr="008E0C85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Курс доллара в феврал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Февраль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58,5394</w:t>
            </w:r>
          </w:p>
        </w:tc>
      </w:tr>
      <w:tr w:rsidR="00EC5335" w:rsidRPr="00431821" w:rsidTr="008E0C85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Курс доллара в март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58,0066</w:t>
            </w:r>
          </w:p>
        </w:tc>
      </w:tr>
      <w:tr w:rsidR="00EC5335" w:rsidRPr="00431821" w:rsidTr="008E0C85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Курс доллара в апрел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Апрель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56,4356</w:t>
            </w:r>
          </w:p>
        </w:tc>
      </w:tr>
      <w:tr w:rsidR="00EC5335" w:rsidRPr="00431821" w:rsidTr="008E0C85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Курс доллара в ма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56,9501</w:t>
            </w:r>
          </w:p>
        </w:tc>
      </w:tr>
      <w:tr w:rsidR="00EC5335" w:rsidRPr="00431821" w:rsidTr="008E0C85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Курс доллара в июн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Июнь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57,8932</w:t>
            </w:r>
          </w:p>
        </w:tc>
      </w:tr>
      <w:tr w:rsidR="00EC5335" w:rsidRPr="00431821" w:rsidTr="008E0C85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Курс доллара в июл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Июль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59,6927</w:t>
            </w:r>
          </w:p>
        </w:tc>
      </w:tr>
      <w:tr w:rsidR="00EC5335" w:rsidRPr="00431821" w:rsidTr="008E0C85">
        <w:trPr>
          <w:trHeight w:val="50"/>
          <w:tblCellSpacing w:w="15" w:type="dxa"/>
        </w:trPr>
        <w:tc>
          <w:tcPr>
            <w:tcW w:w="4121" w:type="dxa"/>
            <w:vAlign w:val="center"/>
            <w:hideMark/>
          </w:tcPr>
          <w:p w:rsidR="00EC5335" w:rsidRPr="00431821" w:rsidRDefault="003A7B04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Курс доллара в августе 2017 года" w:history="1">
              <w:r w:rsidR="00EC5335" w:rsidRPr="00EC53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Август</w:t>
              </w:r>
            </w:hyperlink>
          </w:p>
        </w:tc>
        <w:tc>
          <w:tcPr>
            <w:tcW w:w="5625" w:type="dxa"/>
            <w:vAlign w:val="center"/>
            <w:hideMark/>
          </w:tcPr>
          <w:p w:rsidR="00EC5335" w:rsidRPr="00431821" w:rsidRDefault="00EC5335" w:rsidP="00F750F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60,2716</w:t>
            </w:r>
          </w:p>
        </w:tc>
      </w:tr>
    </w:tbl>
    <w:p w:rsidR="002F4039" w:rsidRDefault="002F4039" w:rsidP="00F750FC">
      <w:pPr>
        <w:pStyle w:val="ac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72269" w:rsidRPr="00C65337" w:rsidRDefault="003D37F0" w:rsidP="00F750FC">
      <w:pPr>
        <w:pStyle w:val="ac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5337">
        <w:rPr>
          <w:rFonts w:ascii="Times New Roman" w:eastAsia="Times New Roman" w:hAnsi="Times New Roman"/>
          <w:b/>
          <w:sz w:val="24"/>
          <w:szCs w:val="24"/>
        </w:rPr>
        <w:t>Проведенный анализ показывает, что при снижении курса доллара США и евро с января по май 201</w:t>
      </w:r>
      <w:r w:rsidR="00EC5335" w:rsidRPr="00C65337">
        <w:rPr>
          <w:rFonts w:ascii="Times New Roman" w:eastAsia="Times New Roman" w:hAnsi="Times New Roman"/>
          <w:b/>
          <w:sz w:val="24"/>
          <w:szCs w:val="24"/>
        </w:rPr>
        <w:t>7</w:t>
      </w:r>
      <w:r w:rsidRPr="00C65337">
        <w:rPr>
          <w:rFonts w:ascii="Times New Roman" w:eastAsia="Times New Roman" w:hAnsi="Times New Roman"/>
          <w:b/>
          <w:sz w:val="24"/>
          <w:szCs w:val="24"/>
        </w:rPr>
        <w:t xml:space="preserve"> года, цены продолжали свой рост. </w:t>
      </w:r>
      <w:r w:rsidR="0017652E" w:rsidRPr="00C65337">
        <w:rPr>
          <w:rFonts w:ascii="Times New Roman" w:eastAsia="Times New Roman" w:hAnsi="Times New Roman"/>
          <w:b/>
          <w:sz w:val="24"/>
          <w:szCs w:val="24"/>
        </w:rPr>
        <w:t xml:space="preserve"> Таким образом, рассуждения отдельных представителей бизнес – сообщества и предпринимателей Камчатского края о повышении стоимости продуктов в связи с ростом курса является спекуляцией и обманом населения Камчатского края. </w:t>
      </w:r>
    </w:p>
    <w:p w:rsidR="00C65337" w:rsidRDefault="000C39FD" w:rsidP="00F750FC">
      <w:pPr>
        <w:pStyle w:val="aa"/>
        <w:tabs>
          <w:tab w:val="left" w:pos="142"/>
        </w:tabs>
        <w:ind w:firstLine="540"/>
        <w:jc w:val="both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Несмотря</w:t>
      </w:r>
      <w:r w:rsidR="00C65337">
        <w:rPr>
          <w:b w:val="0"/>
          <w:color w:val="000000"/>
        </w:rPr>
        <w:t xml:space="preserve"> на объявленную региональной службой по тарифам и ценам «заморозку» тарифов для населения Камчатки на электроэнергию и </w:t>
      </w:r>
      <w:proofErr w:type="spellStart"/>
      <w:r w:rsidR="00C65337">
        <w:rPr>
          <w:b w:val="0"/>
          <w:color w:val="000000"/>
        </w:rPr>
        <w:t>теплоэнергию</w:t>
      </w:r>
      <w:proofErr w:type="spellEnd"/>
      <w:r w:rsidR="00C65337">
        <w:rPr>
          <w:b w:val="0"/>
          <w:color w:val="000000"/>
        </w:rPr>
        <w:t xml:space="preserve"> в Камчатском крае до середины 2018 года, а в перспективе и до середины 2019 года, Федерация профсоюзов Камчатки фиксирует повышение</w:t>
      </w:r>
      <w:r w:rsidR="00BB4461">
        <w:rPr>
          <w:b w:val="0"/>
          <w:color w:val="000000"/>
          <w:lang w:val="ru-RU"/>
        </w:rPr>
        <w:t xml:space="preserve"> платы</w:t>
      </w:r>
      <w:r w:rsidR="00C65337">
        <w:rPr>
          <w:b w:val="0"/>
          <w:color w:val="000000"/>
        </w:rPr>
        <w:t xml:space="preserve"> за коммунальные услуги более </w:t>
      </w:r>
      <w:r w:rsidR="00BB4461">
        <w:rPr>
          <w:b w:val="0"/>
          <w:color w:val="000000"/>
          <w:lang w:val="ru-RU"/>
        </w:rPr>
        <w:t xml:space="preserve">чем на </w:t>
      </w:r>
      <w:r w:rsidR="00C65337">
        <w:rPr>
          <w:b w:val="0"/>
          <w:color w:val="000000"/>
        </w:rPr>
        <w:t xml:space="preserve">1,7 процента. </w:t>
      </w:r>
    </w:p>
    <w:p w:rsidR="00C65337" w:rsidRDefault="00C65337" w:rsidP="00F750FC">
      <w:pPr>
        <w:pStyle w:val="aa"/>
        <w:tabs>
          <w:tab w:val="left" w:pos="142"/>
        </w:tabs>
        <w:ind w:firstLine="540"/>
        <w:jc w:val="both"/>
        <w:rPr>
          <w:b w:val="0"/>
          <w:color w:val="000000"/>
          <w:lang w:val="ru-RU"/>
        </w:rPr>
      </w:pPr>
    </w:p>
    <w:p w:rsidR="00C65337" w:rsidRDefault="00C65337" w:rsidP="00F750FC">
      <w:pPr>
        <w:pStyle w:val="aa"/>
        <w:tabs>
          <w:tab w:val="left" w:pos="142"/>
        </w:tabs>
        <w:ind w:firstLine="540"/>
        <w:jc w:val="both"/>
        <w:rPr>
          <w:b w:val="0"/>
          <w:color w:val="000000"/>
          <w:lang w:val="ru-RU"/>
        </w:rPr>
      </w:pPr>
    </w:p>
    <w:p w:rsidR="007E5F45" w:rsidRPr="00895203" w:rsidRDefault="007E5F45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00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Стоимость услуг жилищно-коммунального хозяйства за период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CE1000">
        <w:rPr>
          <w:rFonts w:ascii="Times New Roman" w:eastAsia="Times New Roman" w:hAnsi="Times New Roman" w:cs="Times New Roman"/>
          <w:i/>
          <w:sz w:val="24"/>
          <w:szCs w:val="24"/>
        </w:rPr>
        <w:t>г. –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CE1000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7E5F45" w:rsidRPr="007E5F45" w:rsidRDefault="007E5F45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5337" w:rsidRDefault="00C65337" w:rsidP="008E0C85">
      <w:pPr>
        <w:pStyle w:val="aa"/>
        <w:tabs>
          <w:tab w:val="left" w:pos="142"/>
        </w:tabs>
        <w:rPr>
          <w:b w:val="0"/>
          <w:color w:val="00000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07CB743" wp14:editId="6B8F4447">
            <wp:extent cx="5940425" cy="2365992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37" w:rsidRPr="00C65337" w:rsidRDefault="00C65337" w:rsidP="00F750FC">
      <w:pPr>
        <w:pStyle w:val="aa"/>
        <w:tabs>
          <w:tab w:val="left" w:pos="142"/>
        </w:tabs>
        <w:ind w:firstLine="540"/>
        <w:jc w:val="both"/>
        <w:rPr>
          <w:color w:val="000000"/>
          <w:lang w:val="ru-RU"/>
        </w:rPr>
      </w:pPr>
    </w:p>
    <w:p w:rsidR="00C65337" w:rsidRPr="00C65337" w:rsidRDefault="00C65337" w:rsidP="00F750FC">
      <w:pPr>
        <w:pStyle w:val="aa"/>
        <w:tabs>
          <w:tab w:val="left" w:pos="142"/>
        </w:tabs>
        <w:ind w:firstLine="540"/>
        <w:jc w:val="both"/>
        <w:rPr>
          <w:color w:val="000000"/>
          <w:lang w:val="ru-RU"/>
        </w:rPr>
      </w:pPr>
      <w:r w:rsidRPr="00C65337">
        <w:rPr>
          <w:color w:val="000000"/>
        </w:rPr>
        <w:t>Так, плата за холодное водоснабжение с 1 июля 2017 года увеличи</w:t>
      </w:r>
      <w:r w:rsidR="00BB4461">
        <w:rPr>
          <w:color w:val="000000"/>
          <w:lang w:val="ru-RU"/>
        </w:rPr>
        <w:t>лась</w:t>
      </w:r>
      <w:r w:rsidRPr="00C65337">
        <w:rPr>
          <w:color w:val="000000"/>
        </w:rPr>
        <w:t xml:space="preserve"> на 6% и состав</w:t>
      </w:r>
      <w:r w:rsidR="00BB4461">
        <w:rPr>
          <w:color w:val="000000"/>
          <w:lang w:val="ru-RU"/>
        </w:rPr>
        <w:t>ляет</w:t>
      </w:r>
      <w:r w:rsidRPr="00C65337">
        <w:rPr>
          <w:color w:val="000000"/>
        </w:rPr>
        <w:t xml:space="preserve"> 53,74 рублей, вместо установленных ранее 50,70 рублей. Плата за горячее водоснабжение увеличи</w:t>
      </w:r>
      <w:r w:rsidR="00BB4461">
        <w:rPr>
          <w:color w:val="000000"/>
          <w:lang w:val="ru-RU"/>
        </w:rPr>
        <w:t xml:space="preserve">лась </w:t>
      </w:r>
      <w:r w:rsidRPr="00C65337">
        <w:rPr>
          <w:color w:val="000000"/>
        </w:rPr>
        <w:t>в среднем на 1,7%.</w:t>
      </w:r>
    </w:p>
    <w:p w:rsidR="00C65337" w:rsidRDefault="00C65337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не все работодатели обеспечивают заработную плату на уровне официального прожиточного минимума трудоспособн</w:t>
      </w:r>
      <w:r w:rsidR="00C93A5A">
        <w:rPr>
          <w:rFonts w:ascii="Times New Roman" w:eastAsia="Times New Roman" w:hAnsi="Times New Roman" w:cs="Times New Roman"/>
          <w:sz w:val="24"/>
          <w:szCs w:val="24"/>
        </w:rPr>
        <w:t xml:space="preserve">ого человека в Камчатском края. </w:t>
      </w:r>
      <w:r w:rsidR="00C93A5A" w:rsidRPr="000C39FD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C39FD">
        <w:rPr>
          <w:rFonts w:ascii="Times New Roman" w:eastAsia="Times New Roman" w:hAnsi="Times New Roman" w:cs="Times New Roman"/>
          <w:b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данным Управления Федеральной налоговой службы по Камчатскому краю в </w:t>
      </w:r>
      <w:r w:rsidRPr="00C653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C65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квартале 2017 года 2 106 работодателей выплачивают заработную плату в размере ниже официального прожиточного минимума трудоспособного человека в Камчатском крае. Стоит отметить увеличение количества таких недобросовестных работодателей</w:t>
      </w:r>
      <w:r w:rsidR="00BB4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Камчатском кра</w:t>
      </w:r>
      <w:r w:rsidR="00C93A5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C653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5134" w:rsidRDefault="00D45134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34" w:rsidRPr="00D45134" w:rsidRDefault="00D45134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134">
        <w:rPr>
          <w:rFonts w:ascii="Times New Roman" w:eastAsia="Times New Roman" w:hAnsi="Times New Roman" w:cs="Times New Roman"/>
          <w:i/>
          <w:sz w:val="24"/>
          <w:szCs w:val="24"/>
        </w:rPr>
        <w:t>Количество работодателей, выплачивающих заработную плату в размере ниже официального прожиточного минимума трудоспособного человека в Камчатском крае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 период 2015 – 2017 год</w:t>
      </w:r>
    </w:p>
    <w:p w:rsidR="00E9381F" w:rsidRDefault="00E9381F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1F" w:rsidRDefault="00C65337" w:rsidP="008E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3B47CF" wp14:editId="673EBF51">
            <wp:extent cx="5940425" cy="2660898"/>
            <wp:effectExtent l="0" t="0" r="2222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9381F" w:rsidRDefault="00E9381F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1F" w:rsidRDefault="00E9381F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337" w:rsidRDefault="00C65337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</w:t>
      </w:r>
      <w:proofErr w:type="gramStart"/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="00B80C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получающих </w:t>
      </w:r>
      <w:r w:rsidR="00B80C47">
        <w:rPr>
          <w:rFonts w:ascii="Times New Roman" w:eastAsia="Times New Roman" w:hAnsi="Times New Roman" w:cs="Times New Roman"/>
          <w:b/>
          <w:sz w:val="24"/>
          <w:szCs w:val="24"/>
        </w:rPr>
        <w:t xml:space="preserve">зарплату 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>ниже минимума растет</w:t>
      </w:r>
      <w:proofErr w:type="gramEnd"/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>, при том, что количество работодателей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Камчатском крае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снижается.  По мнению Федерации профсоюзов Камчатки на лицо либо некорректная подготовка отчетов Пенсионного Фонда, либо «серую» схему заработной платы</w:t>
      </w:r>
      <w:r w:rsidR="00BB446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начали активно использовать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более 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крупные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предприятия с большим количеством работников</w:t>
      </w:r>
      <w:r w:rsidR="00BB4461">
        <w:rPr>
          <w:rFonts w:ascii="Times New Roman" w:eastAsia="Times New Roman" w:hAnsi="Times New Roman" w:cs="Times New Roman"/>
          <w:b/>
          <w:sz w:val="24"/>
          <w:szCs w:val="24"/>
        </w:rPr>
        <w:t>, чтобы получит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ь незаконные конкурентные преимущества.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>Серая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зарплата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удар по будущим пенсионерам, а также колоссальный удар по бюджету Камчатского </w:t>
      </w:r>
      <w:r w:rsidR="00BB4461">
        <w:rPr>
          <w:rFonts w:ascii="Times New Roman" w:eastAsia="Times New Roman" w:hAnsi="Times New Roman" w:cs="Times New Roman"/>
          <w:b/>
          <w:sz w:val="24"/>
          <w:szCs w:val="24"/>
        </w:rPr>
        <w:t>края.</w:t>
      </w:r>
    </w:p>
    <w:p w:rsidR="007D3585" w:rsidRDefault="00C65337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B3F">
        <w:rPr>
          <w:rFonts w:ascii="Times New Roman" w:eastAsia="Times New Roman" w:hAnsi="Times New Roman" w:cs="Times New Roman"/>
          <w:sz w:val="24"/>
          <w:szCs w:val="24"/>
        </w:rPr>
        <w:t xml:space="preserve">Для решения этой проблемы необходим перевод 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>теневой экономики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 xml:space="preserve"> в легальное поле.</w:t>
      </w:r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35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 трудовой деятельностью и уровнем заработной платы в бюджетных организациях осуществляется Правительством Камчатского края. </w:t>
      </w:r>
      <w:r w:rsidR="00B80C4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о мнению </w:t>
      </w:r>
      <w:r w:rsidR="00DC0C3E">
        <w:rPr>
          <w:rFonts w:ascii="Times New Roman" w:eastAsia="Times New Roman" w:hAnsi="Times New Roman" w:cs="Times New Roman"/>
          <w:sz w:val="24"/>
          <w:szCs w:val="24"/>
        </w:rPr>
        <w:t>профсоюзов</w:t>
      </w:r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0C3E">
        <w:rPr>
          <w:rFonts w:ascii="Times New Roman" w:eastAsia="Times New Roman" w:hAnsi="Times New Roman" w:cs="Times New Roman"/>
          <w:sz w:val="24"/>
          <w:szCs w:val="24"/>
        </w:rPr>
        <w:t>Правительство</w:t>
      </w:r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, как регулятор, </w:t>
      </w:r>
      <w:r w:rsidR="00DC0C3E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>вышло</w:t>
      </w:r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 из зоны формирования заработной платы и соблюдени</w:t>
      </w:r>
      <w:r w:rsidR="00DC0C3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3585">
        <w:rPr>
          <w:rFonts w:ascii="Times New Roman" w:eastAsia="Times New Roman" w:hAnsi="Times New Roman" w:cs="Times New Roman"/>
          <w:sz w:val="24"/>
          <w:szCs w:val="24"/>
        </w:rPr>
        <w:t xml:space="preserve"> трудового законодательства во внебюджетном секторе </w:t>
      </w:r>
      <w:r w:rsidR="00DC0C3E">
        <w:rPr>
          <w:rFonts w:ascii="Times New Roman" w:eastAsia="Times New Roman" w:hAnsi="Times New Roman" w:cs="Times New Roman"/>
          <w:sz w:val="24"/>
          <w:szCs w:val="24"/>
        </w:rPr>
        <w:t xml:space="preserve">экономики. Необходимо усилить 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DC0C3E">
        <w:rPr>
          <w:rFonts w:ascii="Times New Roman" w:eastAsia="Times New Roman" w:hAnsi="Times New Roman" w:cs="Times New Roman"/>
          <w:sz w:val="24"/>
          <w:szCs w:val="24"/>
        </w:rPr>
        <w:t xml:space="preserve"> рабочих групп </w:t>
      </w:r>
      <w:r w:rsidR="00DC0C3E" w:rsidRPr="00B47B6F">
        <w:rPr>
          <w:rFonts w:ascii="Times New Roman" w:hAnsi="Times New Roman" w:cs="Times New Roman"/>
          <w:sz w:val="24"/>
          <w:szCs w:val="24"/>
        </w:rPr>
        <w:t>по снижению неформальной занятости, легализации «серой» заработной платы, повышению собираемости страховых взносов в Пенсионный фонд РФ</w:t>
      </w:r>
      <w:r w:rsidR="00DC0C3E">
        <w:rPr>
          <w:rFonts w:ascii="Times New Roman" w:eastAsia="Times New Roman" w:hAnsi="Times New Roman" w:cs="Times New Roman"/>
          <w:sz w:val="24"/>
          <w:szCs w:val="24"/>
        </w:rPr>
        <w:t xml:space="preserve">, созданных во всех муниципальных районах Камчатского края в части </w:t>
      </w:r>
      <w:r w:rsidR="00DC0C3E">
        <w:rPr>
          <w:rFonts w:ascii="Times New Roman" w:hAnsi="Times New Roman" w:cs="Times New Roman"/>
          <w:sz w:val="24"/>
          <w:szCs w:val="24"/>
        </w:rPr>
        <w:t>повышения результативности и эффективности их работы.</w:t>
      </w:r>
    </w:p>
    <w:p w:rsidR="00BB4461" w:rsidRDefault="00C65337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 xml:space="preserve">Для резкого 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>оздоровлени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 xml:space="preserve"> экономики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 xml:space="preserve"> края, необходимо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реальной заработной платы, которая должна явиться стимулом роста производительности труда, 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товаров и услуг, 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>экономической активности населения. Это приведет к росту налоговых отчислений и, следовательно, увеличению доходной части бюджета. А с другой стороны</w:t>
      </w:r>
      <w:r w:rsidR="00BB44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 xml:space="preserve"> к снижению доли граждан, </w:t>
      </w:r>
      <w:r w:rsidR="005C6B3F" w:rsidRPr="005C6B3F">
        <w:rPr>
          <w:rFonts w:ascii="Times New Roman" w:eastAsia="Times New Roman" w:hAnsi="Times New Roman" w:cs="Times New Roman"/>
          <w:sz w:val="24"/>
          <w:szCs w:val="24"/>
        </w:rPr>
        <w:t>действительно</w:t>
      </w:r>
      <w:r w:rsidRPr="005C6B3F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помощи государства.</w:t>
      </w:r>
      <w:r w:rsidR="005C6B3F" w:rsidRPr="005C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B3F" w:rsidRPr="00412E88" w:rsidRDefault="00BB4461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Профсоюзы отмечают, что</w:t>
      </w:r>
      <w:r w:rsidR="00C65337"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платежеспособность населения Камчатского края снижается, </w:t>
      </w:r>
      <w:r w:rsidR="00DB4EC7">
        <w:rPr>
          <w:rFonts w:ascii="Times New Roman" w:eastAsia="Times New Roman" w:hAnsi="Times New Roman" w:cs="Times New Roman"/>
          <w:b/>
          <w:sz w:val="24"/>
          <w:szCs w:val="24"/>
        </w:rPr>
        <w:t>не проводилась</w:t>
      </w:r>
      <w:r w:rsidR="00C65337"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индексация фонда оплаты труда работников бюджетной сферы, </w:t>
      </w:r>
      <w:r w:rsidR="00DB4EC7" w:rsidRPr="00DB4EC7">
        <w:rPr>
          <w:rFonts w:ascii="Times New Roman" w:eastAsia="Times New Roman" w:hAnsi="Times New Roman" w:cs="Times New Roman"/>
          <w:b/>
          <w:sz w:val="24"/>
          <w:szCs w:val="24"/>
        </w:rPr>
        <w:t>не достигнуты</w:t>
      </w:r>
      <w:r w:rsidR="00C65337" w:rsidRPr="00DB4EC7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целевые показатели роста заработной платы отдельных категорий работников бюджетной сферы</w:t>
      </w:r>
      <w:r w:rsidR="00DB4EC7" w:rsidRPr="00DB4E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C39FD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декларируемое повышение заработной платы по факту произошло </w:t>
      </w:r>
      <w:proofErr w:type="gramStart"/>
      <w:r w:rsidR="00A66BF3">
        <w:rPr>
          <w:rFonts w:ascii="Times New Roman" w:eastAsia="Times New Roman" w:hAnsi="Times New Roman" w:cs="Times New Roman"/>
          <w:b/>
          <w:sz w:val="24"/>
          <w:szCs w:val="24"/>
        </w:rPr>
        <w:t>незамеченным</w:t>
      </w:r>
      <w:proofErr w:type="gramEnd"/>
      <w:r w:rsidR="000C39F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работников. </w:t>
      </w:r>
      <w:proofErr w:type="gramStart"/>
      <w:r w:rsidR="004C478E">
        <w:rPr>
          <w:rFonts w:ascii="Times New Roman" w:eastAsia="Times New Roman" w:hAnsi="Times New Roman" w:cs="Times New Roman"/>
          <w:b/>
          <w:sz w:val="24"/>
          <w:szCs w:val="24"/>
        </w:rPr>
        <w:t>Это происходит на фоне увеличения цен</w:t>
      </w:r>
      <w:r w:rsidR="00C65337"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продукты питания</w:t>
      </w:r>
      <w:r w:rsidR="004C4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337"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среднем на </w:t>
      </w:r>
      <w:r w:rsidR="005C6B3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65337" w:rsidRPr="00AB4B16">
        <w:rPr>
          <w:rFonts w:ascii="Times New Roman" w:eastAsia="Times New Roman" w:hAnsi="Times New Roman" w:cs="Times New Roman"/>
          <w:b/>
          <w:sz w:val="24"/>
          <w:szCs w:val="24"/>
        </w:rPr>
        <w:t>%, стоимост</w:t>
      </w:r>
      <w:r w:rsidR="004C478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65337" w:rsidRPr="00AB4B1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коммунальных платежей на </w:t>
      </w:r>
      <w:r w:rsidR="005C6B3F">
        <w:rPr>
          <w:rFonts w:ascii="Times New Roman" w:eastAsia="Times New Roman" w:hAnsi="Times New Roman" w:cs="Times New Roman"/>
          <w:b/>
          <w:sz w:val="24"/>
          <w:szCs w:val="24"/>
        </w:rPr>
        <w:t>1,7</w:t>
      </w:r>
      <w:r w:rsidR="004C478E">
        <w:rPr>
          <w:rFonts w:ascii="Times New Roman" w:eastAsia="Times New Roman" w:hAnsi="Times New Roman" w:cs="Times New Roman"/>
          <w:b/>
          <w:sz w:val="24"/>
          <w:szCs w:val="24"/>
        </w:rPr>
        <w:t>%. При этом</w:t>
      </w:r>
      <w:r w:rsidR="00412E88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412E88" w:rsidRPr="00412E88">
        <w:rPr>
          <w:rFonts w:ascii="Times New Roman" w:eastAsia="Times New Roman" w:hAnsi="Times New Roman" w:cs="Times New Roman"/>
          <w:b/>
          <w:sz w:val="24"/>
          <w:szCs w:val="24"/>
        </w:rPr>
        <w:t>ндекс потребительских цен по данным Камчатстата (</w:t>
      </w:r>
      <w:r w:rsidR="002809CB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="00412E88" w:rsidRPr="00412E88">
        <w:rPr>
          <w:rFonts w:ascii="Times New Roman" w:eastAsia="Times New Roman" w:hAnsi="Times New Roman" w:cs="Times New Roman"/>
          <w:b/>
          <w:sz w:val="24"/>
          <w:szCs w:val="24"/>
        </w:rPr>
        <w:t xml:space="preserve"> 2017г. к июню 201</w:t>
      </w:r>
      <w:r w:rsidR="002809C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12E88" w:rsidRPr="00412E88">
        <w:rPr>
          <w:rFonts w:ascii="Times New Roman" w:eastAsia="Times New Roman" w:hAnsi="Times New Roman" w:cs="Times New Roman"/>
          <w:b/>
          <w:sz w:val="24"/>
          <w:szCs w:val="24"/>
        </w:rPr>
        <w:t xml:space="preserve">г.) составляет </w:t>
      </w:r>
      <w:r w:rsidR="002809CB">
        <w:rPr>
          <w:rFonts w:ascii="Times New Roman" w:eastAsia="Times New Roman" w:hAnsi="Times New Roman" w:cs="Times New Roman"/>
          <w:b/>
          <w:sz w:val="24"/>
          <w:szCs w:val="24"/>
        </w:rPr>
        <w:t>4,6</w:t>
      </w:r>
      <w:r w:rsidR="00412E88" w:rsidRPr="00412E88">
        <w:rPr>
          <w:rFonts w:ascii="Times New Roman" w:eastAsia="Times New Roman" w:hAnsi="Times New Roman" w:cs="Times New Roman"/>
          <w:b/>
          <w:sz w:val="24"/>
          <w:szCs w:val="24"/>
        </w:rPr>
        <w:t>%,</w:t>
      </w:r>
      <w:r w:rsidR="004C478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="00412E88" w:rsidRPr="00412E8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реальные располагаемые денежные доходы населения (доходы за вычетом обязательных платежей, скорректированные на индекс потребительских цен) в июне 2017 года по сравнению с июнем 2016 года снизились</w:t>
      </w:r>
      <w:proofErr w:type="gramEnd"/>
      <w:r w:rsidR="00412E88" w:rsidRPr="00412E8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6,1%.  </w:t>
      </w:r>
    </w:p>
    <w:p w:rsidR="00E9381F" w:rsidRDefault="00E9381F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E88" w:rsidRPr="00412E88" w:rsidRDefault="00412E88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E88" w:rsidRDefault="00412E88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E9381F" w:rsidRDefault="00E9381F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34" w:rsidRDefault="00412E88" w:rsidP="00F750FC">
      <w:pPr>
        <w:pStyle w:val="headertext"/>
        <w:spacing w:before="0" w:beforeAutospacing="0" w:after="0" w:afterAutospacing="0"/>
        <w:ind w:firstLine="540"/>
        <w:jc w:val="both"/>
      </w:pPr>
      <w:r>
        <w:t>О</w:t>
      </w:r>
      <w:r w:rsidR="007E1407">
        <w:t>сновной сложностью при анализе платежеспособности населения является отсутствие информации о реальном распреде</w:t>
      </w:r>
      <w:r w:rsidR="001A63E1">
        <w:t xml:space="preserve">лении доходов среди населения. </w:t>
      </w:r>
      <w:r w:rsidR="007E1407">
        <w:t>Так,</w:t>
      </w:r>
      <w:r w:rsidR="004C478E">
        <w:t xml:space="preserve"> по официальным данным,</w:t>
      </w:r>
      <w:r w:rsidR="007E1407">
        <w:t xml:space="preserve"> с</w:t>
      </w:r>
      <w:r w:rsidR="007E1407" w:rsidRPr="00790236">
        <w:t>реднемесячная начисленная заработная плата</w:t>
      </w:r>
      <w:r w:rsidR="007E1407" w:rsidRPr="007E1407">
        <w:t xml:space="preserve">  за </w:t>
      </w:r>
      <w:r w:rsidR="007E1407">
        <w:t>июнь 2017 года состав</w:t>
      </w:r>
      <w:r w:rsidR="004C478E">
        <w:t>ила</w:t>
      </w:r>
      <w:r w:rsidR="007E1407">
        <w:t xml:space="preserve"> 7</w:t>
      </w:r>
      <w:r w:rsidR="007E1407" w:rsidRPr="007E1407">
        <w:t>1033</w:t>
      </w:r>
      <w:r w:rsidR="007E1407">
        <w:t>,9 рубля.</w:t>
      </w: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</w:pPr>
    </w:p>
    <w:p w:rsidR="00D45134" w:rsidRDefault="00D45134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5134" w:rsidRDefault="00D45134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134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Уровень средней заработной платы по данным Камчатстата </w:t>
      </w:r>
    </w:p>
    <w:p w:rsidR="00D45134" w:rsidRPr="00D45134" w:rsidRDefault="00D45134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134">
        <w:rPr>
          <w:rFonts w:ascii="Times New Roman" w:eastAsia="Times New Roman" w:hAnsi="Times New Roman" w:cs="Times New Roman"/>
          <w:i/>
          <w:sz w:val="24"/>
          <w:szCs w:val="24"/>
        </w:rPr>
        <w:t>за период июнь 2016 г.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5134">
        <w:rPr>
          <w:rFonts w:ascii="Times New Roman" w:eastAsia="Times New Roman" w:hAnsi="Times New Roman" w:cs="Times New Roman"/>
          <w:i/>
          <w:sz w:val="24"/>
          <w:szCs w:val="24"/>
        </w:rPr>
        <w:t>июнь 2017г.</w:t>
      </w:r>
    </w:p>
    <w:p w:rsidR="00D45134" w:rsidRDefault="00D45134" w:rsidP="003A7B04">
      <w:pPr>
        <w:pStyle w:val="headertext"/>
        <w:spacing w:before="0" w:beforeAutospacing="0" w:after="0" w:afterAutospacing="0"/>
        <w:jc w:val="both"/>
      </w:pPr>
    </w:p>
    <w:p w:rsidR="00412E88" w:rsidRDefault="00412E88" w:rsidP="008E0C85">
      <w:pPr>
        <w:pStyle w:val="headertext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D3E6EA6" wp14:editId="0F27C98C">
            <wp:extent cx="6353175" cy="20193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2E88" w:rsidRDefault="00412E88" w:rsidP="00F750FC">
      <w:pPr>
        <w:pStyle w:val="headertext"/>
        <w:spacing w:before="0" w:beforeAutospacing="0" w:after="0" w:afterAutospacing="0"/>
        <w:ind w:firstLine="540"/>
        <w:jc w:val="both"/>
      </w:pPr>
    </w:p>
    <w:p w:rsidR="007E1407" w:rsidRDefault="007E1407" w:rsidP="00F750FC">
      <w:pPr>
        <w:pStyle w:val="headertext"/>
        <w:spacing w:before="0" w:beforeAutospacing="0" w:after="0" w:afterAutospacing="0"/>
        <w:ind w:firstLine="540"/>
        <w:jc w:val="both"/>
      </w:pPr>
      <w:r w:rsidRPr="007E1407">
        <w:t xml:space="preserve">Однако, по данным службы занятости населения КГКУ ЦЗН г. Петропавловска-Камчатского средняя заработная плата по наиболее востребованным профессиям (специальностям) </w:t>
      </w:r>
      <w:r w:rsidR="004C478E">
        <w:t xml:space="preserve">позиционируется </w:t>
      </w:r>
      <w:r w:rsidRPr="007E1407">
        <w:t>значительно н</w:t>
      </w:r>
      <w:r>
        <w:t xml:space="preserve">иже. </w:t>
      </w: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</w:pPr>
    </w:p>
    <w:p w:rsidR="007E1407" w:rsidRDefault="00D45134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134">
        <w:rPr>
          <w:rFonts w:ascii="Times New Roman" w:eastAsia="Times New Roman" w:hAnsi="Times New Roman" w:cs="Times New Roman"/>
          <w:i/>
          <w:sz w:val="24"/>
          <w:szCs w:val="24"/>
        </w:rPr>
        <w:t>Уровень средней заработной платы по данным службы занятости населения КГКУ 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 г. Петропавловска-Камчатского в 2017 году</w:t>
      </w:r>
    </w:p>
    <w:p w:rsidR="003A7B04" w:rsidRDefault="003A7B04" w:rsidP="00F750FC">
      <w:pPr>
        <w:spacing w:after="0" w:line="240" w:lineRule="auto"/>
        <w:ind w:firstLine="540"/>
        <w:jc w:val="center"/>
      </w:pPr>
    </w:p>
    <w:tbl>
      <w:tblPr>
        <w:tblW w:w="9923" w:type="dxa"/>
        <w:jc w:val="center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  <w:gridCol w:w="2406"/>
        <w:gridCol w:w="3264"/>
      </w:tblGrid>
      <w:tr w:rsidR="00412E88" w:rsidRPr="00412E88" w:rsidTr="008E0C85">
        <w:trPr>
          <w:trHeight w:val="679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Служащие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Общее количество заявленных вакансий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Средняя зарплата</w:t>
            </w:r>
          </w:p>
        </w:tc>
      </w:tr>
      <w:tr w:rsidR="00412E88" w:rsidRPr="00412E88" w:rsidTr="008E0C85">
        <w:trPr>
          <w:trHeight w:val="691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110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49 275,43</w:t>
            </w:r>
          </w:p>
        </w:tc>
      </w:tr>
      <w:tr w:rsidR="00412E88" w:rsidRPr="00412E88" w:rsidTr="008E0C85">
        <w:trPr>
          <w:trHeight w:val="20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Врач-педиатр городской (районный)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41 622,64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Инспектор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39 553,56</w:t>
            </w:r>
          </w:p>
        </w:tc>
      </w:tr>
      <w:tr w:rsidR="00412E88" w:rsidRPr="00412E88" w:rsidTr="008E0C85">
        <w:trPr>
          <w:trHeight w:val="20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Инженер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38 654,03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Специалист банка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38 595,66</w:t>
            </w:r>
          </w:p>
        </w:tc>
      </w:tr>
      <w:tr w:rsidR="00412E88" w:rsidRPr="00412E88" w:rsidTr="008E0C85">
        <w:trPr>
          <w:trHeight w:val="20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Экономист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35 603,59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Электрик участка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34 402,62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Юрисконсульт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34 258,05</w:t>
            </w:r>
          </w:p>
        </w:tc>
      </w:tr>
      <w:tr w:rsidR="00412E88" w:rsidRPr="00412E88" w:rsidTr="008E0C85">
        <w:trPr>
          <w:trHeight w:val="20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33 023,26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Бухгалтер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174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32 718,53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Специалист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313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30 856,02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29 304,32</w:t>
            </w:r>
          </w:p>
        </w:tc>
      </w:tr>
      <w:tr w:rsidR="00412E88" w:rsidRPr="00412E88" w:rsidTr="008E0C85">
        <w:trPr>
          <w:trHeight w:val="505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Менеджер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29 293,99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Кассир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27 342,73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Медицинская сестра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344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27 294,02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177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25 463,98</w:t>
            </w:r>
          </w:p>
        </w:tc>
      </w:tr>
      <w:tr w:rsidR="00412E88" w:rsidRPr="00412E88" w:rsidTr="008E0C85">
        <w:trPr>
          <w:trHeight w:val="475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Оператор связи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25 389,22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Почтальон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23 150,43</w:t>
            </w:r>
          </w:p>
        </w:tc>
      </w:tr>
      <w:tr w:rsidR="00412E88" w:rsidRPr="00412E88" w:rsidTr="008E0C85">
        <w:trPr>
          <w:trHeight w:val="217"/>
          <w:jc w:val="center"/>
        </w:trPr>
        <w:tc>
          <w:tcPr>
            <w:tcW w:w="425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Младший воспитатель</w:t>
            </w:r>
          </w:p>
        </w:tc>
        <w:tc>
          <w:tcPr>
            <w:tcW w:w="240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138</w:t>
            </w:r>
          </w:p>
        </w:tc>
        <w:tc>
          <w:tcPr>
            <w:tcW w:w="326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12E88" w:rsidRPr="0018115C" w:rsidRDefault="00412E88" w:rsidP="008E0C8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81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17 538,78</w:t>
            </w:r>
          </w:p>
        </w:tc>
      </w:tr>
    </w:tbl>
    <w:p w:rsidR="00BA13AC" w:rsidRPr="00CE1000" w:rsidRDefault="00077C5F" w:rsidP="00F750FC">
      <w:pPr>
        <w:pStyle w:val="1"/>
        <w:spacing w:before="0" w:line="240" w:lineRule="auto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apple-style-span"/>
          <w:rFonts w:ascii="Helvetica" w:hAnsi="Helvetica" w:cs="Helvetica"/>
          <w:color w:val="414141"/>
          <w:sz w:val="17"/>
          <w:szCs w:val="17"/>
        </w:rPr>
        <w:t xml:space="preserve"> </w:t>
      </w:r>
    </w:p>
    <w:p w:rsidR="004C478E" w:rsidRDefault="0018115C" w:rsidP="00F750FC">
      <w:pPr>
        <w:pStyle w:val="headertext"/>
        <w:spacing w:before="0" w:beforeAutospacing="0" w:after="0" w:afterAutospacing="0"/>
        <w:ind w:firstLine="540"/>
        <w:jc w:val="both"/>
      </w:pPr>
      <w:r w:rsidRPr="00015CE1">
        <w:rPr>
          <w:b/>
        </w:rPr>
        <w:t xml:space="preserve">Таким образом, средняя заработная плата по данным Центра занятости Камчатского края по различным специальностям </w:t>
      </w:r>
      <w:r w:rsidR="001A63E1" w:rsidRPr="00015CE1">
        <w:rPr>
          <w:b/>
        </w:rPr>
        <w:t>в</w:t>
      </w:r>
      <w:r w:rsidR="004C478E">
        <w:rPr>
          <w:b/>
        </w:rPr>
        <w:t xml:space="preserve"> два раза</w:t>
      </w:r>
      <w:r w:rsidR="001A63E1" w:rsidRPr="00015CE1">
        <w:rPr>
          <w:b/>
        </w:rPr>
        <w:t xml:space="preserve"> ниже, чем</w:t>
      </w:r>
      <w:r w:rsidRPr="00015CE1">
        <w:rPr>
          <w:b/>
        </w:rPr>
        <w:t xml:space="preserve"> официальн</w:t>
      </w:r>
      <w:r w:rsidR="001A63E1" w:rsidRPr="00015CE1">
        <w:rPr>
          <w:b/>
        </w:rPr>
        <w:t>ый</w:t>
      </w:r>
      <w:r w:rsidRPr="00015CE1">
        <w:rPr>
          <w:b/>
        </w:rPr>
        <w:t xml:space="preserve"> п</w:t>
      </w:r>
      <w:r w:rsidR="001A63E1" w:rsidRPr="00015CE1">
        <w:rPr>
          <w:b/>
        </w:rPr>
        <w:t>оказатель</w:t>
      </w:r>
      <w:r w:rsidRPr="00015CE1">
        <w:rPr>
          <w:b/>
        </w:rPr>
        <w:t>. Более того,  по данным Камчатстата средняя заработная плата с января 2017 года выросла на 24,7%, в то</w:t>
      </w:r>
      <w:r w:rsidR="001A63E1" w:rsidRPr="00015CE1">
        <w:rPr>
          <w:b/>
        </w:rPr>
        <w:t xml:space="preserve"> </w:t>
      </w:r>
      <w:r w:rsidRPr="00015CE1">
        <w:rPr>
          <w:b/>
        </w:rPr>
        <w:t xml:space="preserve">время </w:t>
      </w:r>
      <w:r w:rsidR="001A63E1" w:rsidRPr="00015CE1">
        <w:rPr>
          <w:b/>
        </w:rPr>
        <w:t xml:space="preserve">как </w:t>
      </w:r>
      <w:r w:rsidRPr="00015CE1">
        <w:rPr>
          <w:b/>
        </w:rPr>
        <w:t>денежные доходы населения снизились на 6,1%</w:t>
      </w:r>
      <w:r w:rsidR="001A63E1" w:rsidRPr="00015CE1">
        <w:rPr>
          <w:b/>
        </w:rPr>
        <w:t>, а индексация заработной платы в 2017 году не производилась вовсе.</w:t>
      </w:r>
      <w:r w:rsidR="001A63E1" w:rsidRPr="00015CE1">
        <w:t xml:space="preserve"> </w:t>
      </w:r>
    </w:p>
    <w:p w:rsidR="00015CE1" w:rsidRPr="000C39FD" w:rsidRDefault="001A63E1" w:rsidP="000C39FD">
      <w:pPr>
        <w:pStyle w:val="headertext"/>
        <w:spacing w:before="0" w:beforeAutospacing="0" w:after="0" w:afterAutospacing="0"/>
        <w:ind w:firstLine="540"/>
        <w:jc w:val="both"/>
      </w:pPr>
      <w:r w:rsidRPr="001A63E1">
        <w:t xml:space="preserve">Отметим, что с 2010 года ежегодно проводилась индексация заработной платы в Камчатском крае. </w:t>
      </w:r>
      <w:r w:rsidR="004C478E">
        <w:t>В</w:t>
      </w:r>
      <w:r w:rsidRPr="001A63E1">
        <w:t xml:space="preserve"> 2017 году заработные платы</w:t>
      </w:r>
      <w:r w:rsidR="004C478E">
        <w:t xml:space="preserve"> в бюджетных отраслях</w:t>
      </w:r>
      <w:r w:rsidRPr="001A63E1">
        <w:t xml:space="preserve"> остались на уровне прошлого года. </w:t>
      </w:r>
      <w:r w:rsidR="00015CE1" w:rsidRPr="001A63E1">
        <w:t xml:space="preserve">Несмотря на рост цен, Правительство Камчатского края не видит оснований для увеличения заработной платы работникам Камчатского края. Также поступают и работодатели </w:t>
      </w:r>
      <w:r w:rsidR="00BB4461">
        <w:t>внебюджетного</w:t>
      </w:r>
      <w:r w:rsidR="00015CE1" w:rsidRPr="001A63E1">
        <w:t xml:space="preserve"> сектора</w:t>
      </w:r>
      <w:r w:rsidR="00BB4461">
        <w:t xml:space="preserve"> экономики</w:t>
      </w:r>
      <w:r w:rsidR="00015CE1" w:rsidRPr="001A63E1">
        <w:t>.</w:t>
      </w:r>
      <w:r w:rsidR="00015CE1">
        <w:t xml:space="preserve"> </w:t>
      </w:r>
      <w:r w:rsidR="00015CE1" w:rsidRPr="001A63E1">
        <w:t>Покупательс</w:t>
      </w:r>
      <w:r w:rsidR="00015CE1">
        <w:t>кая способность</w:t>
      </w:r>
      <w:r w:rsidR="00BB4461">
        <w:t xml:space="preserve"> населения </w:t>
      </w:r>
      <w:r w:rsidR="00015CE1">
        <w:t>сни</w:t>
      </w:r>
      <w:r w:rsidR="00BB4461">
        <w:t>жается</w:t>
      </w:r>
      <w:r w:rsidR="000C39FD">
        <w:t xml:space="preserve">. </w:t>
      </w:r>
      <w:r w:rsidR="00015CE1" w:rsidRPr="000C39FD">
        <w:t>Заработная плата более половины работников не обеспечивает достойной жи</w:t>
      </w:r>
      <w:r w:rsidR="000C39FD" w:rsidRPr="000C39FD">
        <w:t>зни самих работников и их семей.</w:t>
      </w:r>
    </w:p>
    <w:p w:rsidR="00DC0C3E" w:rsidRPr="00015CE1" w:rsidRDefault="001A63E1" w:rsidP="00F750FC">
      <w:pPr>
        <w:pStyle w:val="headertext"/>
        <w:spacing w:before="0" w:beforeAutospacing="0" w:after="0" w:afterAutospacing="0"/>
        <w:ind w:firstLine="540"/>
        <w:jc w:val="both"/>
      </w:pPr>
      <w:proofErr w:type="gramStart"/>
      <w:r w:rsidRPr="00015CE1">
        <w:t xml:space="preserve">16 декабря 2016 года было заключено дополнительное Соглашение к региональному Соглашению «О минимальной заработной плате в Камчатском крае» на 2016 год, которое пролонгирует действие регионального Соглашения «О минимальной заработной плате в </w:t>
      </w:r>
      <w:r w:rsidRPr="00015CE1">
        <w:lastRenderedPageBreak/>
        <w:t xml:space="preserve">Камчатском крае» на 2016 год и, соответственно, не изменяет размер минимальной заработной платы в Камчатском крае, оставляя ее на прежнем уровне в следующих размерах: </w:t>
      </w:r>
      <w:proofErr w:type="gramEnd"/>
    </w:p>
    <w:p w:rsidR="00DC0C3E" w:rsidRPr="00AB4B16" w:rsidRDefault="00DC0C3E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16">
        <w:rPr>
          <w:rFonts w:ascii="Times New Roman" w:eastAsia="Times New Roman" w:hAnsi="Times New Roman" w:cs="Times New Roman"/>
          <w:b/>
          <w:bCs/>
          <w:sz w:val="24"/>
          <w:szCs w:val="24"/>
        </w:rPr>
        <w:t>С 01 июля 2016 года в Камчатском крае 16 910 рублей,</w:t>
      </w:r>
    </w:p>
    <w:p w:rsidR="00DC0C3E" w:rsidRPr="00AB4B16" w:rsidRDefault="00DC0C3E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16">
        <w:rPr>
          <w:rFonts w:ascii="Times New Roman" w:eastAsia="Times New Roman" w:hAnsi="Times New Roman" w:cs="Times New Roman"/>
          <w:sz w:val="24"/>
          <w:szCs w:val="24"/>
        </w:rPr>
        <w:t>справочно: с 01.07.2015г. по 31.12.2015г. – 15 800 рублей, с 01.01.2016г. по 31.06.2016г. – 16 435 рублей.</w:t>
      </w:r>
    </w:p>
    <w:p w:rsidR="00DC0C3E" w:rsidRPr="00AB4B16" w:rsidRDefault="00DC0C3E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16">
        <w:rPr>
          <w:rFonts w:ascii="Times New Roman" w:eastAsia="Times New Roman" w:hAnsi="Times New Roman" w:cs="Times New Roman"/>
          <w:b/>
          <w:bCs/>
          <w:sz w:val="24"/>
          <w:szCs w:val="24"/>
        </w:rPr>
        <w:t>С 01 июля 2016 года в Корякском округе 18 210 рублей,</w:t>
      </w:r>
    </w:p>
    <w:p w:rsidR="00DC0C3E" w:rsidRPr="00AB4B16" w:rsidRDefault="00DC0C3E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16">
        <w:rPr>
          <w:rFonts w:ascii="Times New Roman" w:eastAsia="Times New Roman" w:hAnsi="Times New Roman" w:cs="Times New Roman"/>
          <w:sz w:val="24"/>
          <w:szCs w:val="24"/>
        </w:rPr>
        <w:t>справочно: с 01.07.2015г по 31.12.2015г. – 17 015 рублей, с 01.01.2016г. по 31.06.2016г. – 17 970  рублей.</w:t>
      </w:r>
    </w:p>
    <w:p w:rsidR="00DC0C3E" w:rsidRPr="00AB4B16" w:rsidRDefault="00DC0C3E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16">
        <w:rPr>
          <w:rFonts w:ascii="Times New Roman" w:eastAsia="Times New Roman" w:hAnsi="Times New Roman" w:cs="Times New Roman"/>
          <w:b/>
          <w:bCs/>
          <w:sz w:val="24"/>
          <w:szCs w:val="24"/>
        </w:rPr>
        <w:t>01 июля 2016 года в Алеутском муниципальном районе 19 510 рублей.</w:t>
      </w:r>
    </w:p>
    <w:p w:rsidR="001A63E1" w:rsidRDefault="00DC0C3E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16">
        <w:rPr>
          <w:rFonts w:ascii="Times New Roman" w:eastAsia="Times New Roman" w:hAnsi="Times New Roman" w:cs="Times New Roman"/>
          <w:sz w:val="24"/>
          <w:szCs w:val="24"/>
        </w:rPr>
        <w:t>справочно: с 01.07.2015г по 31.12.2015г. – 18 230 рублей, с 01.01.2016г. по 31.06.2016г. – 18 960  рублей.</w:t>
      </w:r>
    </w:p>
    <w:p w:rsidR="00DC0C3E" w:rsidRPr="00DC0C3E" w:rsidRDefault="00DC0C3E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C3E">
        <w:rPr>
          <w:rFonts w:ascii="Times New Roman" w:eastAsia="Times New Roman" w:hAnsi="Times New Roman" w:cs="Times New Roman"/>
          <w:b/>
          <w:sz w:val="24"/>
          <w:szCs w:val="24"/>
        </w:rPr>
        <w:t>Отметим, что минимальная заработная плата в Камчатском крае более чем в 4 раза ниже, чем показатель средней заработной платы. Разница составляет 54 123,9 рублей.</w:t>
      </w: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</w:pPr>
    </w:p>
    <w:p w:rsidR="00D45134" w:rsidRPr="00CE1000" w:rsidRDefault="00D45134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000">
        <w:rPr>
          <w:rFonts w:ascii="Times New Roman" w:hAnsi="Times New Roman" w:cs="Times New Roman"/>
          <w:i/>
          <w:sz w:val="24"/>
          <w:szCs w:val="24"/>
        </w:rPr>
        <w:t>Размер минимальной заработной платы в Камчатском крае за 2012-201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E100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61E5F" w:rsidRDefault="00361E5F" w:rsidP="008E0C85">
      <w:pPr>
        <w:pStyle w:val="headertext"/>
        <w:spacing w:before="0" w:beforeAutospacing="0" w:after="0" w:afterAutospacing="0"/>
        <w:jc w:val="center"/>
      </w:pPr>
      <w:r w:rsidRPr="00361E5F">
        <w:rPr>
          <w:noProof/>
        </w:rPr>
        <w:drawing>
          <wp:inline distT="0" distB="0" distL="0" distR="0" wp14:anchorId="65A8274C" wp14:editId="7EF87A47">
            <wp:extent cx="5940425" cy="2356183"/>
            <wp:effectExtent l="0" t="0" r="317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63E1" w:rsidRDefault="00361E5F" w:rsidP="00F750FC">
      <w:pPr>
        <w:pStyle w:val="headertext"/>
        <w:spacing w:before="0" w:beforeAutospacing="0" w:after="0" w:afterAutospacing="0"/>
        <w:ind w:firstLine="540"/>
        <w:jc w:val="both"/>
      </w:pPr>
      <w:r>
        <w:t xml:space="preserve"> </w:t>
      </w:r>
      <w:r w:rsidR="004C478E">
        <w:t>Д</w:t>
      </w:r>
      <w:r w:rsidR="001A63E1" w:rsidRPr="00001874">
        <w:t xml:space="preserve">ополнительное Соглашение к региональному Соглашению «О минимальной заработной плате в Камчатском крае» на 2016 год, которое с 1 января 2017 года </w:t>
      </w:r>
      <w:r w:rsidR="00A56560" w:rsidRPr="00001874">
        <w:t>до настоящего времени</w:t>
      </w:r>
      <w:r w:rsidR="001A63E1" w:rsidRPr="00001874">
        <w:t xml:space="preserve"> </w:t>
      </w:r>
      <w:proofErr w:type="gramStart"/>
      <w:r w:rsidR="001A63E1" w:rsidRPr="00001874">
        <w:t>оставило размер минимальной заработной платы на уровне 2016 года</w:t>
      </w:r>
      <w:r w:rsidR="004C478E">
        <w:t xml:space="preserve"> было</w:t>
      </w:r>
      <w:proofErr w:type="gramEnd"/>
      <w:r w:rsidR="004C478E">
        <w:t xml:space="preserve"> подписано</w:t>
      </w:r>
      <w:r w:rsidR="001A63E1" w:rsidRPr="001A63E1">
        <w:t xml:space="preserve"> </w:t>
      </w:r>
      <w:r w:rsidR="00001874" w:rsidRPr="00001874">
        <w:t>Федераци</w:t>
      </w:r>
      <w:r w:rsidR="004C478E">
        <w:t>ей</w:t>
      </w:r>
      <w:r w:rsidR="00001874" w:rsidRPr="00001874">
        <w:t xml:space="preserve"> профсоюзов Камчатки вынужден</w:t>
      </w:r>
      <w:r w:rsidR="004C478E">
        <w:t>но. О</w:t>
      </w:r>
      <w:r w:rsidR="00001874" w:rsidRPr="00001874">
        <w:t>днако</w:t>
      </w:r>
      <w:r w:rsidR="004C478E">
        <w:t xml:space="preserve"> профсоюзы</w:t>
      </w:r>
      <w:r w:rsidR="00001874" w:rsidRPr="00001874">
        <w:t xml:space="preserve"> счита</w:t>
      </w:r>
      <w:r w:rsidR="004C478E">
        <w:t>ю</w:t>
      </w:r>
      <w:r w:rsidR="00001874" w:rsidRPr="00001874">
        <w:t xml:space="preserve">т, что данное предложение в </w:t>
      </w:r>
      <w:r w:rsidR="004C478E">
        <w:t>нынешних экономических условиях</w:t>
      </w:r>
      <w:r w:rsidR="00001874" w:rsidRPr="00001874">
        <w:t xml:space="preserve"> не отражает реальной социально – экономической ситуации в Камчатском крае и ведет к сокращению уровня доходов населения Камчатского края и</w:t>
      </w:r>
      <w:r w:rsidR="00833535">
        <w:t xml:space="preserve"> потери</w:t>
      </w:r>
      <w:r w:rsidR="00001874" w:rsidRPr="00001874">
        <w:t xml:space="preserve"> бюджето</w:t>
      </w:r>
      <w:r w:rsidR="00833535">
        <w:t>м всех уровней Камчатского края дополнительных налоговых поступлений.</w:t>
      </w:r>
    </w:p>
    <w:p w:rsidR="00361E5F" w:rsidRPr="00001874" w:rsidRDefault="00361E5F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001874">
        <w:rPr>
          <w:b/>
        </w:rPr>
        <w:t>По мнению Федерации профсоюзов Камчатки размер минимальной заработной платы в Камчатском крае</w:t>
      </w:r>
      <w:r w:rsidR="00DC0C3E" w:rsidRPr="00001874">
        <w:rPr>
          <w:b/>
        </w:rPr>
        <w:t xml:space="preserve"> субъективен и</w:t>
      </w:r>
      <w:r w:rsidRPr="00001874">
        <w:rPr>
          <w:b/>
        </w:rPr>
        <w:t xml:space="preserve"> не привязан к каким-либо экономическим индикаторам, а зависит  от неких возможностей бюджета. Не учитывается ни реальный рост инфляции, ни снижение доходов и качества жизни населения, ни увеличение стоимости продуктов питания и товаров первой необходимости.</w:t>
      </w:r>
    </w:p>
    <w:p w:rsidR="00361E5F" w:rsidRDefault="00001874" w:rsidP="00F750FC">
      <w:pPr>
        <w:pStyle w:val="headertext"/>
        <w:spacing w:before="0" w:beforeAutospacing="0" w:after="0" w:afterAutospacing="0"/>
        <w:ind w:firstLine="540"/>
        <w:jc w:val="both"/>
      </w:pPr>
      <w:r>
        <w:t>С</w:t>
      </w:r>
      <w:r w:rsidR="00361E5F">
        <w:t xml:space="preserve"> 1 июля 2017 года федеральный МРОТ </w:t>
      </w:r>
      <w:r w:rsidR="00833535">
        <w:t xml:space="preserve">увеличился </w:t>
      </w:r>
      <w:r w:rsidR="00361E5F">
        <w:t>на 4% и составил 7800 рублей. Ранее, 1 июля 2016 года, данный показатель был увеличен на 21</w:t>
      </w:r>
      <w:r w:rsidR="00D47A40">
        <w:t xml:space="preserve">%. </w:t>
      </w:r>
      <w:r w:rsidR="00A56560">
        <w:t>В настоящее время в</w:t>
      </w:r>
      <w:r w:rsidR="00D47A40">
        <w:t>еличина минимальной заработной платы составляет 83% от величины прожиточного минимума, нивелируя все достижения 2014, 2015 и начала 2016 годов по приближению размера минимальной заработной платы до величины прожиточного м</w:t>
      </w:r>
      <w:r w:rsidR="00833535">
        <w:t>инимума трудоспособного человека</w:t>
      </w:r>
      <w:r w:rsidR="00D47A40">
        <w:t>.</w:t>
      </w:r>
    </w:p>
    <w:p w:rsidR="00DC0C3E" w:rsidRDefault="00DC0C3E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CE42ED">
        <w:rPr>
          <w:b/>
        </w:rPr>
        <w:t xml:space="preserve">При этом при подписании Сторонами социального партнерства регионального Соглашения «О минимальной заработной </w:t>
      </w:r>
      <w:r>
        <w:rPr>
          <w:b/>
        </w:rPr>
        <w:t>плате в Камчатском крае» на 2015, а также 2016</w:t>
      </w:r>
      <w:r w:rsidRPr="00CE42ED">
        <w:rPr>
          <w:b/>
        </w:rPr>
        <w:t xml:space="preserve"> год было принято решение о поэтапном максимальном приближении минимальной </w:t>
      </w:r>
      <w:r w:rsidRPr="00CE42ED">
        <w:rPr>
          <w:b/>
        </w:rPr>
        <w:lastRenderedPageBreak/>
        <w:t>заработной платы к уровню официального прожиточного минимума трудоспособного человека в Камчатском крае</w:t>
      </w:r>
      <w:r w:rsidR="00D45134">
        <w:rPr>
          <w:b/>
        </w:rPr>
        <w:t>.</w:t>
      </w: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</w:p>
    <w:p w:rsidR="00D45134" w:rsidRPr="00D45134" w:rsidRDefault="00D45134" w:rsidP="00F750FC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134">
        <w:rPr>
          <w:rFonts w:ascii="Times New Roman" w:hAnsi="Times New Roman" w:cs="Times New Roman"/>
          <w:i/>
          <w:sz w:val="24"/>
          <w:szCs w:val="24"/>
        </w:rPr>
        <w:t xml:space="preserve">Отношение официального прожиточного минимума </w:t>
      </w:r>
    </w:p>
    <w:p w:rsidR="00D45134" w:rsidRPr="00D45134" w:rsidRDefault="00D45134" w:rsidP="00F750FC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134">
        <w:rPr>
          <w:rFonts w:ascii="Times New Roman" w:hAnsi="Times New Roman" w:cs="Times New Roman"/>
          <w:i/>
          <w:sz w:val="24"/>
          <w:szCs w:val="24"/>
        </w:rPr>
        <w:t>трудоспособного человека (ПМ) и минимальной заработной платы (МЗП) в Камчатском крае за 2012-2017 года</w:t>
      </w:r>
    </w:p>
    <w:p w:rsidR="00D47A40" w:rsidRPr="001A63E1" w:rsidRDefault="00D47A40" w:rsidP="00F750FC">
      <w:pPr>
        <w:pStyle w:val="headertext"/>
        <w:spacing w:before="0" w:beforeAutospacing="0" w:after="0" w:afterAutospacing="0"/>
        <w:ind w:firstLine="540"/>
        <w:jc w:val="both"/>
      </w:pPr>
    </w:p>
    <w:tbl>
      <w:tblPr>
        <w:tblW w:w="9923" w:type="dxa"/>
        <w:jc w:val="center"/>
        <w:tblInd w:w="-5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1153"/>
        <w:gridCol w:w="1559"/>
        <w:gridCol w:w="1276"/>
        <w:gridCol w:w="1842"/>
        <w:gridCol w:w="1985"/>
      </w:tblGrid>
      <w:tr w:rsidR="00D47A40" w:rsidRPr="00D47A40" w:rsidTr="008E0C85">
        <w:trPr>
          <w:trHeight w:val="772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proofErr w:type="spellStart"/>
            <w:r w:rsidRPr="00D47A40">
              <w:rPr>
                <w:b/>
                <w:bCs/>
              </w:rPr>
              <w:t>год</w:t>
            </w:r>
            <w:proofErr w:type="gramStart"/>
            <w:r w:rsidRPr="00D47A40">
              <w:rPr>
                <w:b/>
                <w:bCs/>
              </w:rPr>
              <w:t>,к</w:t>
            </w:r>
            <w:proofErr w:type="gramEnd"/>
            <w:r w:rsidRPr="00D47A40">
              <w:rPr>
                <w:b/>
                <w:bCs/>
              </w:rPr>
              <w:t>вартал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ПМ, руб.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proofErr w:type="spellStart"/>
            <w:r w:rsidRPr="00D47A40">
              <w:rPr>
                <w:b/>
                <w:bCs/>
              </w:rPr>
              <w:t>год</w:t>
            </w:r>
            <w:proofErr w:type="gramStart"/>
            <w:r w:rsidRPr="00D47A40">
              <w:rPr>
                <w:b/>
                <w:bCs/>
              </w:rPr>
              <w:t>,к</w:t>
            </w:r>
            <w:proofErr w:type="gramEnd"/>
            <w:r w:rsidRPr="00D47A40">
              <w:rPr>
                <w:b/>
                <w:bCs/>
              </w:rPr>
              <w:t>вартал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proofErr w:type="spellStart"/>
            <w:r w:rsidRPr="00D47A40">
              <w:rPr>
                <w:b/>
                <w:bCs/>
              </w:rPr>
              <w:t>МЗП</w:t>
            </w:r>
            <w:proofErr w:type="gramStart"/>
            <w:r w:rsidRPr="00D47A40">
              <w:rPr>
                <w:b/>
                <w:bCs/>
              </w:rPr>
              <w:t>,р</w:t>
            </w:r>
            <w:proofErr w:type="gramEnd"/>
            <w:r w:rsidRPr="00D47A40">
              <w:rPr>
                <w:b/>
                <w:bCs/>
              </w:rPr>
              <w:t>уб</w:t>
            </w:r>
            <w:proofErr w:type="spellEnd"/>
            <w:r w:rsidRPr="00D47A40">
              <w:rPr>
                <w:b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Соотношение МЗП к ПМ(%)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Соотношение ПМ к МЗП (руб.)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2012 год 1кв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13 258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2012 год 2кв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7 500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56,6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5 758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2012 год 2кв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13 311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2012 год 3кв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10 050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75,5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3 261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2012 год 3кв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13 699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2012 год 4кв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10 050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73,4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3 649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2012 год 4кв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13 984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1кв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12 000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85,8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1 984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1кв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14 085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2кв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12 000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85,2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2 085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2кв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14 666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3кв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12 000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81,8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2 666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3кв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14 793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4кв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12 000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81,1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2 793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2013 год 4кв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14 880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1кв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13 200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88,7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1 680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1кв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15 358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2кв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13 200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85,9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2 158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2кв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15 878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3кв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14 440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90,9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1 438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3кв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16 327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4кв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14 440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88,4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1 887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2014 год 4кв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16 369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2015 год 1кв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15 550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95,0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819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2015 год 1кв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17 939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2015 год 2кв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15 550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86,7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2 389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 xml:space="preserve">2015 год 2 </w:t>
            </w:r>
            <w:proofErr w:type="spellStart"/>
            <w:r w:rsidRPr="00D47A40">
              <w:t>кв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18811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2015 год 3кв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15800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84,0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3 011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 xml:space="preserve">2015 год 3 </w:t>
            </w:r>
            <w:proofErr w:type="spellStart"/>
            <w:r w:rsidRPr="00D47A40">
              <w:t>кв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18905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2015 год 4кв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15800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83,6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3 105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 xml:space="preserve">2015 год 4 </w:t>
            </w:r>
            <w:proofErr w:type="spellStart"/>
            <w:r w:rsidRPr="00D47A40">
              <w:t>кв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19173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 xml:space="preserve">2016 год 1 </w:t>
            </w:r>
            <w:proofErr w:type="spellStart"/>
            <w:r w:rsidRPr="00D47A40"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16435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85,7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2 738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 xml:space="preserve">2016 год 1 </w:t>
            </w:r>
            <w:proofErr w:type="spellStart"/>
            <w:r w:rsidRPr="00D47A40">
              <w:t>кв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19494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 xml:space="preserve">2016 год 2 </w:t>
            </w:r>
            <w:proofErr w:type="spellStart"/>
            <w:r w:rsidRPr="00D47A40"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16435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84,3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3059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2016 год 2кв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19965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 xml:space="preserve">2016 год 3 </w:t>
            </w:r>
            <w:proofErr w:type="spellStart"/>
            <w:r w:rsidRPr="00D47A40"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16910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84,7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3 055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2016 год 3кв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20 232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2016 год 4кв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16910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83,6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3 322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2016 год 4кв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20 292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2017 год 1кв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16910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83,3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3 382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2017 год 1кв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20 394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2017 год 2кв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16910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83,0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3 484</w:t>
            </w:r>
          </w:p>
        </w:tc>
      </w:tr>
      <w:tr w:rsidR="00D47A40" w:rsidRPr="00D47A40" w:rsidTr="008E0C85">
        <w:trPr>
          <w:trHeight w:val="265"/>
          <w:jc w:val="center"/>
        </w:trPr>
        <w:tc>
          <w:tcPr>
            <w:tcW w:w="2108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2017 год 2кв</w:t>
            </w:r>
          </w:p>
        </w:tc>
        <w:tc>
          <w:tcPr>
            <w:tcW w:w="1153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20 399</w:t>
            </w:r>
          </w:p>
        </w:tc>
        <w:tc>
          <w:tcPr>
            <w:tcW w:w="1559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2017 год 2кв</w:t>
            </w:r>
          </w:p>
        </w:tc>
        <w:tc>
          <w:tcPr>
            <w:tcW w:w="1276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16910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rPr>
                <w:b/>
                <w:bCs/>
              </w:rPr>
              <w:t>83,0</w:t>
            </w:r>
          </w:p>
        </w:tc>
        <w:tc>
          <w:tcPr>
            <w:tcW w:w="198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F4608" w:rsidRPr="00D47A40" w:rsidRDefault="00D47A40" w:rsidP="008E0C85">
            <w:pPr>
              <w:pStyle w:val="headertext"/>
              <w:jc w:val="center"/>
            </w:pPr>
            <w:r w:rsidRPr="00D47A40">
              <w:t>3 489</w:t>
            </w:r>
          </w:p>
        </w:tc>
      </w:tr>
    </w:tbl>
    <w:p w:rsidR="001A63E1" w:rsidRPr="001A63E1" w:rsidRDefault="001A63E1" w:rsidP="00F750FC">
      <w:pPr>
        <w:pStyle w:val="headertext"/>
        <w:spacing w:before="0" w:beforeAutospacing="0" w:after="0" w:afterAutospacing="0"/>
        <w:ind w:firstLine="540"/>
        <w:jc w:val="both"/>
      </w:pPr>
    </w:p>
    <w:p w:rsidR="00A56560" w:rsidRPr="007D3585" w:rsidRDefault="00A56560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1B5">
        <w:rPr>
          <w:rFonts w:ascii="Times New Roman" w:eastAsia="Times New Roman" w:hAnsi="Times New Roman" w:cs="Times New Roman"/>
          <w:b/>
          <w:bCs/>
          <w:sz w:val="24"/>
          <w:szCs w:val="24"/>
        </w:rPr>
        <w:t>Позиция Федерации профсоюзов Камчатки остается неизменной: минимальная заработная плата в Камчатском края</w:t>
      </w:r>
      <w:r w:rsidR="008335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должна быть</w:t>
      </w:r>
      <w:r w:rsidRPr="00240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ниже величины прожиточного минимума трудоспособного гражданина в Камчатском крае.</w:t>
      </w:r>
    </w:p>
    <w:p w:rsidR="00D47A40" w:rsidRDefault="00D47A40" w:rsidP="00F750FC">
      <w:pPr>
        <w:pStyle w:val="headertext"/>
        <w:spacing w:before="0" w:beforeAutospacing="0" w:after="0" w:afterAutospacing="0"/>
        <w:ind w:firstLine="540"/>
        <w:jc w:val="both"/>
      </w:pPr>
      <w:r w:rsidRPr="00D47A40">
        <w:t>По мнению Федерации профсоюзов Камчатки, повышение минимальной заработной платы в Камчатском крае положительно скажет</w:t>
      </w:r>
      <w:r w:rsidR="007D3585">
        <w:t>ся</w:t>
      </w:r>
      <w:r w:rsidRPr="00D47A40">
        <w:t xml:space="preserve"> на пополняемости бюджета Камчатского края и рост</w:t>
      </w:r>
      <w:r w:rsidR="00833535">
        <w:t>е</w:t>
      </w:r>
      <w:r w:rsidRPr="00D47A40">
        <w:t xml:space="preserve"> продаж </w:t>
      </w:r>
      <w:r w:rsidR="007D3585">
        <w:t>в</w:t>
      </w:r>
      <w:r w:rsidRPr="00D47A40">
        <w:t xml:space="preserve">о внебюджетном секторе. Во-первых, вырастет уровень легализации доходов, очевиден будет рост и заработной платы. Это повлечет за собой рост поступления НДФЛ в краевой бюджет. Во вторых, рост платежеспособности населения оживит </w:t>
      </w:r>
      <w:proofErr w:type="gramStart"/>
      <w:r w:rsidRPr="00D47A40">
        <w:t>торговлю</w:t>
      </w:r>
      <w:proofErr w:type="gramEnd"/>
      <w:r w:rsidRPr="00D47A40">
        <w:t xml:space="preserve"> как продовольственной групп</w:t>
      </w:r>
      <w:r w:rsidR="00833535">
        <w:t>ы</w:t>
      </w:r>
      <w:r w:rsidRPr="00D47A40">
        <w:t xml:space="preserve"> товаров, так и товарами промышленного назначения.</w:t>
      </w:r>
    </w:p>
    <w:p w:rsidR="00A17885" w:rsidRDefault="00A17885" w:rsidP="00F750FC">
      <w:pPr>
        <w:pStyle w:val="headertext"/>
        <w:spacing w:before="0" w:beforeAutospacing="0" w:after="0" w:afterAutospacing="0"/>
        <w:ind w:firstLine="540"/>
        <w:jc w:val="both"/>
      </w:pPr>
    </w:p>
    <w:p w:rsidR="00A17885" w:rsidRDefault="00A17885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A17885" w:rsidRDefault="00A17885" w:rsidP="00F750FC">
      <w:pPr>
        <w:pStyle w:val="headertext"/>
        <w:spacing w:before="0" w:beforeAutospacing="0" w:after="0" w:afterAutospacing="0"/>
        <w:ind w:firstLine="540"/>
        <w:jc w:val="both"/>
      </w:pPr>
    </w:p>
    <w:p w:rsidR="00A17885" w:rsidRPr="00D45134" w:rsidRDefault="00D45134" w:rsidP="00F750FC">
      <w:pPr>
        <w:pStyle w:val="headertext"/>
        <w:spacing w:before="0" w:beforeAutospacing="0" w:after="0" w:afterAutospacing="0"/>
        <w:ind w:firstLine="540"/>
        <w:jc w:val="center"/>
        <w:rPr>
          <w:i/>
        </w:rPr>
      </w:pPr>
      <w:r w:rsidRPr="00D45134">
        <w:rPr>
          <w:i/>
        </w:rPr>
        <w:lastRenderedPageBreak/>
        <w:t>Доходы населения Камчатского края по данным Камчатстата в 2016 году</w:t>
      </w:r>
    </w:p>
    <w:p w:rsidR="00D47A40" w:rsidRDefault="00A17885" w:rsidP="00F750FC">
      <w:pPr>
        <w:pStyle w:val="headertext"/>
        <w:spacing w:before="0" w:beforeAutospacing="0" w:after="0" w:afterAutospacing="0"/>
        <w:ind w:firstLine="540"/>
        <w:jc w:val="both"/>
      </w:pPr>
      <w:r>
        <w:rPr>
          <w:noProof/>
        </w:rPr>
        <w:drawing>
          <wp:inline distT="0" distB="0" distL="0" distR="0" wp14:anchorId="1D77F6AC" wp14:editId="1E3EE826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47A40" w:rsidRDefault="00A17885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Камчатстата, более 15%</w:t>
      </w:r>
      <w:r w:rsidR="0034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47 тысяч)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Камчатского края получают доход ниже уровня минимальной заработной платы</w:t>
      </w:r>
      <w:r w:rsidR="003450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в Камчатском крае</w:t>
      </w:r>
      <w:r w:rsidR="00DB3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A40" w:rsidRDefault="00D47A40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данным Отделения Пенсионного Фонда РФ по Камчатскому краю за </w:t>
      </w:r>
      <w:r w:rsidRPr="00A17885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D47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2016 года, порядка 1 065 работодателя выплачивают заработную плату работникам ниже установленного минимума зарплаты в крае (16 910 рублей), что составляет 12,6% от общего числа. </w:t>
      </w:r>
    </w:p>
    <w:p w:rsidR="00A17885" w:rsidRPr="00A17885" w:rsidRDefault="00A17885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134" w:rsidRDefault="00D47A40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работодателей в Камчатском крае, выплачивающих заработную плату  ниже минимальной заработной платы, установленной региональным Соглашением </w:t>
      </w:r>
    </w:p>
    <w:p w:rsidR="00D47A40" w:rsidRDefault="00D45134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2015 – 2016 года</w:t>
      </w:r>
      <w:r w:rsidR="00D47A40" w:rsidRPr="00D47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7A40" w:rsidRPr="00D47A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CAE1A" wp14:editId="74901367">
            <wp:extent cx="5940425" cy="2416267"/>
            <wp:effectExtent l="0" t="0" r="22225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47A40" w:rsidRDefault="00D47A40" w:rsidP="00F750F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40" w:rsidRDefault="00D47A40" w:rsidP="00F750F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40" w:rsidRDefault="00D47A40" w:rsidP="00F750F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67" w:rsidRPr="00B16967" w:rsidRDefault="00D47A40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 w:rsidRPr="00DC0C3E">
        <w:t>Таким образом, минимальная заработная плата в Камчатском крае и прожиточный минимум  остаются величинами номинальными и весьма условными, хотя и определяют уровень дохода</w:t>
      </w:r>
      <w:r w:rsidR="00001874">
        <w:t xml:space="preserve"> и социальной помощи для</w:t>
      </w:r>
      <w:r w:rsidRPr="00DC0C3E">
        <w:t xml:space="preserve"> значительной массы населения</w:t>
      </w:r>
      <w:r w:rsidR="00001874">
        <w:t>.</w:t>
      </w:r>
      <w:r w:rsidR="00A17885">
        <w:t xml:space="preserve"> </w:t>
      </w:r>
      <w:r w:rsidR="009B090F" w:rsidRPr="00001874">
        <w:rPr>
          <w:b/>
        </w:rPr>
        <w:t>У</w:t>
      </w:r>
      <w:r w:rsidR="00A17885" w:rsidRPr="00001874">
        <w:rPr>
          <w:b/>
          <w:bCs/>
        </w:rPr>
        <w:t>р</w:t>
      </w:r>
      <w:r w:rsidR="00A17885">
        <w:rPr>
          <w:b/>
          <w:bCs/>
        </w:rPr>
        <w:t>овень реа</w:t>
      </w:r>
      <w:r w:rsidR="00001874">
        <w:rPr>
          <w:b/>
          <w:bCs/>
        </w:rPr>
        <w:t>льной средней заработной платы по-прежнему</w:t>
      </w:r>
      <w:r w:rsidR="00A17885">
        <w:rPr>
          <w:b/>
          <w:bCs/>
        </w:rPr>
        <w:t xml:space="preserve"> остается неопределенным</w:t>
      </w:r>
      <w:r w:rsidR="00001874">
        <w:rPr>
          <w:b/>
          <w:bCs/>
        </w:rPr>
        <w:t>.</w:t>
      </w:r>
      <w:r w:rsidR="00345015">
        <w:rPr>
          <w:b/>
          <w:bCs/>
        </w:rPr>
        <w:t xml:space="preserve"> 15% населения </w:t>
      </w:r>
      <w:r w:rsidR="00345015">
        <w:rPr>
          <w:b/>
          <w:bCs/>
        </w:rPr>
        <w:lastRenderedPageBreak/>
        <w:t xml:space="preserve">получают заработную плату ниже 16 910 рублей, при этом средняя заработная плата по данным центра </w:t>
      </w:r>
      <w:r w:rsidR="00345015" w:rsidRPr="00B16967">
        <w:rPr>
          <w:b/>
        </w:rPr>
        <w:t xml:space="preserve">занятости около 36 тысяч рублей, в то время как по данным Камчатстата она составляет более 71 тысячи рублей. </w:t>
      </w:r>
      <w:r w:rsidR="00833535">
        <w:rPr>
          <w:b/>
        </w:rPr>
        <w:t>П</w:t>
      </w:r>
      <w:r w:rsidR="00FC16A2" w:rsidRPr="00B16967">
        <w:rPr>
          <w:b/>
        </w:rPr>
        <w:t xml:space="preserve">о данным </w:t>
      </w:r>
      <w:proofErr w:type="spellStart"/>
      <w:r w:rsidR="00FC16A2" w:rsidRPr="00B16967">
        <w:rPr>
          <w:b/>
        </w:rPr>
        <w:t>Камчатстата</w:t>
      </w:r>
      <w:proofErr w:type="spellEnd"/>
      <w:r w:rsidR="00FC16A2" w:rsidRPr="00B16967">
        <w:rPr>
          <w:b/>
        </w:rPr>
        <w:t xml:space="preserve"> </w:t>
      </w:r>
      <w:r w:rsidR="00FC16A2" w:rsidRPr="00015CE1">
        <w:rPr>
          <w:b/>
        </w:rPr>
        <w:t xml:space="preserve">средняя заработная плата с января 2017 года выросла на 24,7%, </w:t>
      </w:r>
      <w:r w:rsidR="00833535">
        <w:rPr>
          <w:b/>
        </w:rPr>
        <w:t>тогда</w:t>
      </w:r>
      <w:r w:rsidR="00FC16A2" w:rsidRPr="00015CE1">
        <w:rPr>
          <w:b/>
        </w:rPr>
        <w:t xml:space="preserve"> как денежные доходы населения снизились на 6,1%, а индексация заработной платы в 2017 году не производилась вовсе.</w:t>
      </w:r>
      <w:r w:rsidR="00FC16A2" w:rsidRPr="00B16967">
        <w:rPr>
          <w:b/>
        </w:rPr>
        <w:t xml:space="preserve"> </w:t>
      </w:r>
      <w:r w:rsidR="00B16967" w:rsidRPr="00B16967">
        <w:rPr>
          <w:b/>
        </w:rPr>
        <w:t xml:space="preserve">По мнению Федерации профсоюзов Камчатки, необходимо наладить межведомственное взаимодействие между ответственными министерствами и ведомствами Правительства Камчатского края и федеральными структурами для </w:t>
      </w:r>
      <w:r w:rsidR="00001874">
        <w:rPr>
          <w:b/>
        </w:rPr>
        <w:t>единообразного расчета</w:t>
      </w:r>
      <w:r w:rsidR="00B16967" w:rsidRPr="00B16967">
        <w:rPr>
          <w:b/>
        </w:rPr>
        <w:t xml:space="preserve"> экономических показателей в крае.</w:t>
      </w:r>
    </w:p>
    <w:p w:rsidR="00D47A40" w:rsidRPr="00B16967" w:rsidRDefault="00D47A40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</w:p>
    <w:p w:rsidR="00A17885" w:rsidRDefault="00A17885" w:rsidP="00F750FC">
      <w:pPr>
        <w:pStyle w:val="headertext"/>
        <w:spacing w:before="0" w:beforeAutospacing="0" w:after="0" w:afterAutospacing="0"/>
        <w:ind w:firstLine="540"/>
        <w:jc w:val="both"/>
        <w:rPr>
          <w:b/>
          <w:bCs/>
        </w:rPr>
      </w:pPr>
    </w:p>
    <w:p w:rsidR="00A17885" w:rsidRDefault="00A17885" w:rsidP="00F750FC">
      <w:pPr>
        <w:pStyle w:val="headertext"/>
        <w:spacing w:before="0" w:beforeAutospacing="0" w:after="0" w:afterAutospacing="0"/>
        <w:ind w:firstLine="540"/>
        <w:jc w:val="both"/>
        <w:rPr>
          <w:b/>
          <w:bCs/>
        </w:rPr>
      </w:pPr>
    </w:p>
    <w:p w:rsidR="00FC16A2" w:rsidRDefault="00FC16A2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2D4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ПО ЗАРАБОТНОЙ ПЛАТЕ</w:t>
      </w:r>
    </w:p>
    <w:p w:rsidR="00FC16A2" w:rsidRDefault="00FC16A2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6A2" w:rsidRDefault="00FC16A2" w:rsidP="00F750FC">
      <w:pPr>
        <w:pStyle w:val="headertext"/>
        <w:spacing w:before="0" w:beforeAutospacing="0" w:after="0" w:afterAutospacing="0"/>
        <w:ind w:firstLine="540"/>
        <w:jc w:val="both"/>
      </w:pPr>
      <w:r w:rsidRPr="00FC16A2">
        <w:t xml:space="preserve">Согласно данным Территориального органа Федеральной службы государственной статистики по Камчатскому краю, по состоянию на 1 августа 2017 года просроченная задолженность по выплате заработной платы в организациях всех форм собственности Камчатского края  составляет 27 713 тыс. рублей перед 289 работниками. В течение 2017 года просроченная задолженность по выплате заработной платы продолжает ежемесячно увеличивалась. В августе зафиксировано первое снижение ( июль 2017г. – 35 121 </w:t>
      </w:r>
      <w:proofErr w:type="spellStart"/>
      <w:r w:rsidRPr="00FC16A2">
        <w:t>тыс</w:t>
      </w:r>
      <w:proofErr w:type="gramStart"/>
      <w:r w:rsidRPr="00FC16A2">
        <w:t>.р</w:t>
      </w:r>
      <w:proofErr w:type="gramEnd"/>
      <w:r w:rsidRPr="00FC16A2">
        <w:t>ублей</w:t>
      </w:r>
      <w:proofErr w:type="spellEnd"/>
      <w:r w:rsidRPr="00FC16A2">
        <w:t>)</w:t>
      </w:r>
      <w:r>
        <w:t>.</w:t>
      </w: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</w:pPr>
    </w:p>
    <w:p w:rsidR="00D45134" w:rsidRPr="00D45134" w:rsidRDefault="00D45134" w:rsidP="00F750FC">
      <w:pPr>
        <w:pStyle w:val="headertext"/>
        <w:spacing w:before="0" w:beforeAutospacing="0" w:after="0" w:afterAutospacing="0"/>
        <w:ind w:firstLine="540"/>
        <w:jc w:val="center"/>
        <w:rPr>
          <w:i/>
        </w:rPr>
      </w:pPr>
      <w:r w:rsidRPr="00D45134">
        <w:rPr>
          <w:i/>
        </w:rPr>
        <w:t>Просроченная задолженность по выплате заработной платы в Камчатском крае</w:t>
      </w:r>
    </w:p>
    <w:p w:rsidR="00B64FB2" w:rsidRPr="00D45134" w:rsidRDefault="00D45134" w:rsidP="00F750FC">
      <w:pPr>
        <w:pStyle w:val="headertext"/>
        <w:spacing w:before="0" w:beforeAutospacing="0" w:after="0" w:afterAutospacing="0"/>
        <w:ind w:firstLine="540"/>
        <w:jc w:val="center"/>
        <w:rPr>
          <w:i/>
        </w:rPr>
      </w:pPr>
      <w:r w:rsidRPr="00D45134">
        <w:rPr>
          <w:i/>
        </w:rPr>
        <w:t>за период август 2016г. – август 2017г.</w:t>
      </w:r>
    </w:p>
    <w:p w:rsidR="00B64FB2" w:rsidRDefault="00B64FB2" w:rsidP="008E0C85">
      <w:pPr>
        <w:pStyle w:val="headertext"/>
        <w:spacing w:before="0" w:beforeAutospacing="0" w:after="0" w:afterAutospacing="0"/>
        <w:jc w:val="both"/>
      </w:pPr>
      <w:r w:rsidRPr="00B64FB2">
        <w:rPr>
          <w:noProof/>
        </w:rPr>
        <w:drawing>
          <wp:inline distT="0" distB="0" distL="0" distR="0" wp14:anchorId="56454F47" wp14:editId="3BFF302F">
            <wp:extent cx="6477000" cy="3028950"/>
            <wp:effectExtent l="0" t="1905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64FB2" w:rsidRDefault="00B64FB2" w:rsidP="00F750FC">
      <w:pPr>
        <w:pStyle w:val="headertext"/>
        <w:spacing w:before="0" w:beforeAutospacing="0" w:after="0" w:afterAutospacing="0"/>
        <w:ind w:firstLine="540"/>
        <w:jc w:val="both"/>
      </w:pPr>
    </w:p>
    <w:p w:rsidR="00FC16A2" w:rsidRDefault="00FC16A2" w:rsidP="00F750FC">
      <w:pPr>
        <w:pStyle w:val="headertext"/>
        <w:spacing w:before="0" w:beforeAutospacing="0" w:after="0" w:afterAutospacing="0"/>
        <w:ind w:firstLine="540"/>
        <w:jc w:val="both"/>
      </w:pPr>
      <w:r>
        <w:t>Стоит отметить, что показатель задо</w:t>
      </w:r>
      <w:r w:rsidR="00833535">
        <w:t>лженности в Камчатском крае, не</w:t>
      </w:r>
      <w:r>
        <w:t xml:space="preserve">смотря на ежемесячный рост, </w:t>
      </w:r>
      <w:r w:rsidR="00B64FB2">
        <w:t xml:space="preserve">на 26,7% ниже, чем в августе 2016 года. </w:t>
      </w:r>
      <w:r w:rsidR="00833535">
        <w:t>З</w:t>
      </w:r>
      <w:r w:rsidR="00827AB1">
        <w:t>а год</w:t>
      </w:r>
      <w:r w:rsidR="00B64FB2">
        <w:t xml:space="preserve"> более чем в 2 раза снизилось количество работников, перед которыми имеется задолженность.</w:t>
      </w: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3A7B04" w:rsidRDefault="003A7B04" w:rsidP="00F750FC">
      <w:pPr>
        <w:pStyle w:val="headertext"/>
        <w:spacing w:before="0" w:beforeAutospacing="0" w:after="0" w:afterAutospacing="0"/>
        <w:ind w:firstLine="540"/>
        <w:jc w:val="both"/>
      </w:pP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</w:pPr>
    </w:p>
    <w:p w:rsidR="00D45134" w:rsidRPr="00D45134" w:rsidRDefault="00D45134" w:rsidP="00F750FC">
      <w:pPr>
        <w:pStyle w:val="headertext"/>
        <w:spacing w:before="0" w:beforeAutospacing="0" w:after="0" w:afterAutospacing="0"/>
        <w:ind w:firstLine="540"/>
        <w:jc w:val="center"/>
        <w:rPr>
          <w:i/>
        </w:rPr>
      </w:pPr>
      <w:r>
        <w:rPr>
          <w:i/>
        </w:rPr>
        <w:lastRenderedPageBreak/>
        <w:t>К</w:t>
      </w:r>
      <w:r w:rsidRPr="00D45134">
        <w:rPr>
          <w:i/>
        </w:rPr>
        <w:t>оличество работников, перед которыми имеется задолженность</w:t>
      </w:r>
      <w:r>
        <w:rPr>
          <w:i/>
        </w:rPr>
        <w:t xml:space="preserve">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</w:t>
      </w:r>
      <w:proofErr w:type="gramStart"/>
      <w:r w:rsidRPr="00D45134">
        <w:rPr>
          <w:i/>
        </w:rPr>
        <w:t>заработной</w:t>
      </w:r>
      <w:proofErr w:type="gramEnd"/>
      <w:r w:rsidRPr="00D45134">
        <w:rPr>
          <w:i/>
        </w:rPr>
        <w:t xml:space="preserve"> платы в Камчатском крае</w:t>
      </w:r>
      <w:r>
        <w:rPr>
          <w:i/>
        </w:rPr>
        <w:t xml:space="preserve"> </w:t>
      </w:r>
      <w:r w:rsidRPr="00D45134">
        <w:rPr>
          <w:i/>
        </w:rPr>
        <w:t xml:space="preserve">за период </w:t>
      </w:r>
      <w:r>
        <w:rPr>
          <w:i/>
        </w:rPr>
        <w:t>сентябрь</w:t>
      </w:r>
      <w:r w:rsidRPr="00D45134">
        <w:rPr>
          <w:i/>
        </w:rPr>
        <w:t xml:space="preserve"> 2016г. – август 2017г.</w:t>
      </w:r>
    </w:p>
    <w:p w:rsidR="00D45134" w:rsidRPr="00D45134" w:rsidRDefault="00D45134" w:rsidP="00F750FC">
      <w:pPr>
        <w:pStyle w:val="headertext"/>
        <w:spacing w:before="0" w:beforeAutospacing="0" w:after="0" w:afterAutospacing="0"/>
        <w:ind w:firstLine="540"/>
        <w:jc w:val="center"/>
        <w:rPr>
          <w:i/>
        </w:rPr>
      </w:pPr>
    </w:p>
    <w:p w:rsidR="00B64FB2" w:rsidRPr="00FC16A2" w:rsidRDefault="00B64FB2" w:rsidP="00F750FC">
      <w:pPr>
        <w:pStyle w:val="headertext"/>
        <w:spacing w:before="0" w:beforeAutospacing="0" w:after="0" w:afterAutospacing="0"/>
        <w:ind w:firstLine="540"/>
        <w:jc w:val="both"/>
      </w:pPr>
    </w:p>
    <w:p w:rsidR="00345015" w:rsidRDefault="00B64FB2" w:rsidP="00F750FC">
      <w:pPr>
        <w:spacing w:after="0" w:line="240" w:lineRule="auto"/>
        <w:ind w:firstLine="540"/>
        <w:jc w:val="both"/>
      </w:pPr>
      <w:r w:rsidRPr="00B64FB2">
        <w:rPr>
          <w:noProof/>
          <w:lang w:eastAsia="ru-RU"/>
        </w:rPr>
        <w:drawing>
          <wp:inline distT="0" distB="0" distL="0" distR="0" wp14:anchorId="47E8494D" wp14:editId="3550DABA">
            <wp:extent cx="5940425" cy="1875504"/>
            <wp:effectExtent l="0" t="0" r="22225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64FB2" w:rsidRDefault="00B64FB2" w:rsidP="00F750FC">
      <w:pPr>
        <w:spacing w:after="0" w:line="240" w:lineRule="auto"/>
        <w:ind w:firstLine="540"/>
        <w:jc w:val="both"/>
      </w:pPr>
    </w:p>
    <w:p w:rsidR="00B64FB2" w:rsidRPr="00B64FB2" w:rsidRDefault="00B64FB2" w:rsidP="00F750FC">
      <w:pPr>
        <w:pStyle w:val="headertext"/>
        <w:spacing w:before="0" w:beforeAutospacing="0" w:after="0" w:afterAutospacing="0"/>
        <w:ind w:firstLine="540"/>
        <w:jc w:val="both"/>
      </w:pPr>
      <w:r>
        <w:t xml:space="preserve">Однако </w:t>
      </w:r>
      <w:r w:rsidRPr="00B64FB2">
        <w:t>официальные показатели основываются исключительно на предоста</w:t>
      </w:r>
      <w:r w:rsidR="007D1931">
        <w:t>вленных предприятиями данных в т</w:t>
      </w:r>
      <w:r w:rsidRPr="00B64FB2">
        <w:t>ерриториальный орган Федеральной службы государственной статистики по Камчатскому краю</w:t>
      </w:r>
      <w:r w:rsidR="007D1931">
        <w:t xml:space="preserve"> (</w:t>
      </w:r>
      <w:proofErr w:type="spellStart"/>
      <w:r w:rsidR="007D1931">
        <w:t>Камчатстат</w:t>
      </w:r>
      <w:proofErr w:type="spellEnd"/>
      <w:r w:rsidR="007D1931">
        <w:t>)</w:t>
      </w:r>
      <w:r w:rsidRPr="00B64FB2">
        <w:t>.</w:t>
      </w:r>
    </w:p>
    <w:p w:rsidR="00B64FB2" w:rsidRDefault="00B64FB2" w:rsidP="00F750FC">
      <w:pPr>
        <w:pStyle w:val="headertext"/>
        <w:spacing w:before="0" w:beforeAutospacing="0" w:after="0" w:afterAutospacing="0"/>
        <w:ind w:firstLine="540"/>
        <w:jc w:val="both"/>
      </w:pPr>
      <w:r w:rsidRPr="00B64FB2">
        <w:t>Серьезной проблемой в Камчатском крае остается латентная задолженность. Широко распространена практика несвоевременного предоставления или вовсе неп</w:t>
      </w:r>
      <w:r w:rsidR="00001874">
        <w:t xml:space="preserve">редставления сведений в Росстат </w:t>
      </w:r>
      <w:r w:rsidRPr="00B64FB2">
        <w:t>предприяти</w:t>
      </w:r>
      <w:r w:rsidR="00001874">
        <w:t>ями</w:t>
      </w:r>
      <w:r w:rsidRPr="00B64FB2">
        <w:t xml:space="preserve">. </w:t>
      </w:r>
      <w:r w:rsidR="00001874">
        <w:t>З</w:t>
      </w:r>
      <w:r w:rsidRPr="00B64FB2">
        <w:t xml:space="preserve">начительная часть задолженности не учитывается ни в одном официальном документе, тем самым искажая общую картину задолженности по заработной плате в Камчатском крае. </w:t>
      </w:r>
    </w:p>
    <w:p w:rsidR="001A50A9" w:rsidRPr="001A50A9" w:rsidRDefault="001A50A9" w:rsidP="00F750FC">
      <w:pPr>
        <w:pStyle w:val="headertext"/>
        <w:spacing w:before="0" w:beforeAutospacing="0" w:after="0" w:afterAutospacing="0"/>
        <w:ind w:firstLine="540"/>
        <w:jc w:val="both"/>
      </w:pPr>
      <w:r w:rsidRPr="001A50A9">
        <w:t>Так, по обобщенным данным контрольно</w:t>
      </w:r>
      <w:r>
        <w:t xml:space="preserve"> </w:t>
      </w:r>
      <w:r w:rsidRPr="001A50A9">
        <w:t xml:space="preserve">- надзорных органов Камчатского края, неофициальная (латентная) задолженность по заработной плате по состоянию на 1 августа 2017 года составляет 68 690 миллионов рублей перед 773 работниками у 19 организаций. </w:t>
      </w:r>
    </w:p>
    <w:p w:rsidR="00827AB1" w:rsidRDefault="00827AB1" w:rsidP="00F750FC">
      <w:pPr>
        <w:pStyle w:val="headertext"/>
        <w:spacing w:before="0" w:beforeAutospacing="0" w:after="0" w:afterAutospacing="0"/>
        <w:ind w:firstLine="540"/>
        <w:jc w:val="both"/>
      </w:pPr>
      <w:r w:rsidRPr="001C5F34">
        <w:rPr>
          <w:b/>
        </w:rPr>
        <w:t>Основная причина задолженности перед работниками</w:t>
      </w:r>
      <w:r w:rsidR="00833535">
        <w:rPr>
          <w:b/>
        </w:rPr>
        <w:t>,</w:t>
      </w:r>
      <w:r w:rsidRPr="001C5F34">
        <w:rPr>
          <w:b/>
        </w:rPr>
        <w:t xml:space="preserve"> </w:t>
      </w:r>
      <w:r w:rsidR="00833535" w:rsidRPr="001C5F34">
        <w:rPr>
          <w:b/>
        </w:rPr>
        <w:t>в большинстве случаев</w:t>
      </w:r>
      <w:r w:rsidR="00833535">
        <w:rPr>
          <w:b/>
        </w:rPr>
        <w:t>,</w:t>
      </w:r>
      <w:r>
        <w:rPr>
          <w:b/>
        </w:rPr>
        <w:t xml:space="preserve"> </w:t>
      </w:r>
      <w:r w:rsidRPr="001C5F34">
        <w:rPr>
          <w:b/>
        </w:rPr>
        <w:t>отсутствие собственных средств.</w:t>
      </w:r>
      <w:r w:rsidRPr="001C5F34">
        <w:t xml:space="preserve"> </w:t>
      </w:r>
      <w:r w:rsidRPr="003F48D9">
        <w:rPr>
          <w:b/>
        </w:rPr>
        <w:t xml:space="preserve">Федерация профсоюзов Камчатки считает необходимым ужесточить персональную ответственность руководителей </w:t>
      </w:r>
      <w:r w:rsidR="00833535">
        <w:rPr>
          <w:b/>
        </w:rPr>
        <w:t>организаций</w:t>
      </w:r>
      <w:r w:rsidRPr="003F48D9">
        <w:rPr>
          <w:b/>
        </w:rPr>
        <w:t>, что повысит эффективность работы по погашению задолженности.</w:t>
      </w:r>
    </w:p>
    <w:p w:rsidR="00827AB1" w:rsidRDefault="00827AB1" w:rsidP="00F750FC">
      <w:pPr>
        <w:pStyle w:val="headertext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>По мнению Федерации профсоюзов Камчатки, одн</w:t>
      </w:r>
      <w:r w:rsidR="00001874">
        <w:rPr>
          <w:b/>
          <w:bCs/>
        </w:rPr>
        <w:t>им</w:t>
      </w:r>
      <w:r>
        <w:rPr>
          <w:b/>
          <w:bCs/>
        </w:rPr>
        <w:t xml:space="preserve"> из </w:t>
      </w:r>
      <w:r w:rsidR="00001874">
        <w:rPr>
          <w:b/>
          <w:bCs/>
        </w:rPr>
        <w:t>факторов позднего выявления</w:t>
      </w:r>
      <w:r>
        <w:rPr>
          <w:b/>
          <w:bCs/>
        </w:rPr>
        <w:t xml:space="preserve"> задолженности по заработной плате является отсутств</w:t>
      </w:r>
      <w:r w:rsidR="00001874">
        <w:rPr>
          <w:b/>
          <w:bCs/>
        </w:rPr>
        <w:t>ие</w:t>
      </w:r>
      <w:r>
        <w:rPr>
          <w:b/>
          <w:bCs/>
        </w:rPr>
        <w:t xml:space="preserve"> </w:t>
      </w:r>
      <w:r w:rsidRPr="001C5F34">
        <w:rPr>
          <w:b/>
          <w:bCs/>
        </w:rPr>
        <w:t>на предприятиях п</w:t>
      </w:r>
      <w:r>
        <w:rPr>
          <w:b/>
          <w:bCs/>
        </w:rPr>
        <w:t>ервичных профсоюзных организаций. Так</w:t>
      </w:r>
      <w:r w:rsidRPr="001C5F34">
        <w:rPr>
          <w:b/>
          <w:bCs/>
        </w:rPr>
        <w:t>, в организациях, где имеются первичные профсоюзные организации, проблем</w:t>
      </w:r>
      <w:r w:rsidR="00001874">
        <w:rPr>
          <w:b/>
          <w:bCs/>
        </w:rPr>
        <w:t>ы</w:t>
      </w:r>
      <w:r w:rsidRPr="001C5F34">
        <w:rPr>
          <w:b/>
          <w:bCs/>
        </w:rPr>
        <w:t>, связанны</w:t>
      </w:r>
      <w:r w:rsidR="00001874">
        <w:rPr>
          <w:b/>
          <w:bCs/>
        </w:rPr>
        <w:t>е</w:t>
      </w:r>
      <w:r>
        <w:rPr>
          <w:b/>
          <w:bCs/>
        </w:rPr>
        <w:t xml:space="preserve"> с задолженность</w:t>
      </w:r>
      <w:r w:rsidR="00001874">
        <w:rPr>
          <w:b/>
          <w:bCs/>
        </w:rPr>
        <w:t>ю по</w:t>
      </w:r>
      <w:r>
        <w:rPr>
          <w:b/>
          <w:bCs/>
        </w:rPr>
        <w:t xml:space="preserve"> заработной плат</w:t>
      </w:r>
      <w:r w:rsidR="00001874">
        <w:rPr>
          <w:b/>
          <w:bCs/>
        </w:rPr>
        <w:t>е</w:t>
      </w:r>
      <w:r>
        <w:rPr>
          <w:b/>
          <w:bCs/>
        </w:rPr>
        <w:t xml:space="preserve">, </w:t>
      </w:r>
      <w:r w:rsidRPr="001C5F34">
        <w:rPr>
          <w:b/>
          <w:bCs/>
        </w:rPr>
        <w:t xml:space="preserve"> выплатой «серой» заработной плат</w:t>
      </w:r>
      <w:r w:rsidR="00001874">
        <w:rPr>
          <w:b/>
          <w:bCs/>
        </w:rPr>
        <w:t>ы</w:t>
      </w:r>
      <w:r w:rsidRPr="001C5F34">
        <w:rPr>
          <w:b/>
          <w:bCs/>
        </w:rPr>
        <w:t xml:space="preserve"> работникам,  нелегальным заемным трудом, оплатой труда в размере меньше величины минимальной заработной плат</w:t>
      </w:r>
      <w:r>
        <w:rPr>
          <w:b/>
          <w:bCs/>
        </w:rPr>
        <w:t xml:space="preserve">ы в Камчатском крае </w:t>
      </w:r>
      <w:r w:rsidR="00001874">
        <w:rPr>
          <w:b/>
          <w:bCs/>
        </w:rPr>
        <w:t>своевременно выявляются и устраняются.</w:t>
      </w:r>
    </w:p>
    <w:p w:rsidR="00827AB1" w:rsidRDefault="00827AB1" w:rsidP="00F750FC">
      <w:pPr>
        <w:pStyle w:val="headertext"/>
        <w:spacing w:before="0" w:beforeAutospacing="0" w:after="0" w:afterAutospacing="0"/>
        <w:ind w:firstLine="540"/>
        <w:jc w:val="both"/>
        <w:rPr>
          <w:b/>
          <w:bCs/>
        </w:rPr>
      </w:pPr>
    </w:p>
    <w:p w:rsidR="00827AB1" w:rsidRDefault="00827AB1" w:rsidP="00F750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46">
        <w:rPr>
          <w:rFonts w:ascii="Times New Roman" w:hAnsi="Times New Roman" w:cs="Times New Roman"/>
          <w:b/>
          <w:sz w:val="24"/>
          <w:szCs w:val="24"/>
        </w:rPr>
        <w:t>БЕЗРАБОТИЦА</w:t>
      </w:r>
    </w:p>
    <w:p w:rsidR="002B39D0" w:rsidRDefault="002B39D0" w:rsidP="00F750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B5C" w:rsidRDefault="00660B5C" w:rsidP="00F750FC">
      <w:pPr>
        <w:pStyle w:val="headertext"/>
        <w:spacing w:before="0" w:beforeAutospacing="0" w:after="0" w:afterAutospacing="0"/>
        <w:ind w:firstLine="540"/>
        <w:jc w:val="both"/>
        <w:rPr>
          <w:szCs w:val="28"/>
        </w:rPr>
      </w:pPr>
      <w:r>
        <w:t xml:space="preserve">За 1 половину  2017 года (январь – июль) 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 </w:t>
      </w:r>
      <w:r w:rsidRPr="005B640A">
        <w:t>8460 </w:t>
      </w:r>
      <w:r>
        <w:t xml:space="preserve">человек. При содействии органов службы занятости за отчетный период </w:t>
      </w:r>
      <w:r>
        <w:rPr>
          <w:szCs w:val="28"/>
        </w:rPr>
        <w:t xml:space="preserve">трудоустроено </w:t>
      </w:r>
      <w:r>
        <w:rPr>
          <w:bCs/>
          <w:szCs w:val="28"/>
        </w:rPr>
        <w:t>5812</w:t>
      </w:r>
      <w:r>
        <w:rPr>
          <w:szCs w:val="28"/>
        </w:rPr>
        <w:t xml:space="preserve"> человек.</w:t>
      </w:r>
    </w:p>
    <w:p w:rsidR="002B39D0" w:rsidRDefault="005B640A" w:rsidP="00F750FC">
      <w:pPr>
        <w:pStyle w:val="headertext"/>
        <w:spacing w:before="0" w:beforeAutospacing="0" w:after="0" w:afterAutospacing="0"/>
        <w:ind w:firstLine="540"/>
        <w:jc w:val="both"/>
      </w:pPr>
      <w:r w:rsidRPr="005B640A">
        <w:t xml:space="preserve">Численность рабочей силы, по предварительным итогам выборочного обследования рабочей силы, в июне 2017 года составила 179,1 тыс. человек или 56,9% от общей численности населения Камчатского края. В том числе 172,8 тыс. человек или 96,5% рабочей силы были заняты в экономике и 6,3 тыс. человек (3,5%) не имели занятия, но активно его искали (в соответствии с методологией Международной Организации Труда они классифицируются как безработные). </w:t>
      </w:r>
      <w:r w:rsidR="001B603F">
        <w:t>Из них п</w:t>
      </w:r>
      <w:r w:rsidRPr="005B640A">
        <w:t xml:space="preserve">о состоянию на 2 августа 2017 года численность </w:t>
      </w:r>
      <w:r w:rsidRPr="005B640A">
        <w:lastRenderedPageBreak/>
        <w:t>безработных граждан, зарегистрированных в органах государственной службы занятости населения, составила 2</w:t>
      </w:r>
      <w:r w:rsidR="00660B5C">
        <w:t>426</w:t>
      </w:r>
      <w:r w:rsidRPr="005B640A">
        <w:t xml:space="preserve"> человек</w:t>
      </w:r>
      <w:r>
        <w:t>.</w:t>
      </w:r>
    </w:p>
    <w:p w:rsidR="001B603F" w:rsidRDefault="001B603F" w:rsidP="00F750FC">
      <w:pPr>
        <w:pStyle w:val="headertext"/>
        <w:spacing w:before="0" w:beforeAutospacing="0" w:after="0" w:afterAutospacing="0"/>
        <w:ind w:firstLine="540"/>
        <w:jc w:val="both"/>
      </w:pPr>
    </w:p>
    <w:p w:rsidR="00D45134" w:rsidRPr="00D45134" w:rsidRDefault="00D45134" w:rsidP="00F750FC">
      <w:pPr>
        <w:pStyle w:val="headertext"/>
        <w:spacing w:before="0" w:beforeAutospacing="0" w:after="0" w:afterAutospacing="0"/>
        <w:ind w:firstLine="540"/>
        <w:jc w:val="center"/>
        <w:rPr>
          <w:i/>
        </w:rPr>
      </w:pPr>
      <w:r w:rsidRPr="00D45134">
        <w:rPr>
          <w:i/>
        </w:rPr>
        <w:t>Численность безработных граждан, зарегистрированных в органах государственной службы занятости населения в Камчатском крае за период август 2016г.- август 2017г.</w:t>
      </w:r>
    </w:p>
    <w:p w:rsidR="00D45134" w:rsidRDefault="00D45134" w:rsidP="00F750FC">
      <w:pPr>
        <w:pStyle w:val="headertext"/>
        <w:spacing w:before="0" w:beforeAutospacing="0" w:after="0" w:afterAutospacing="0"/>
        <w:ind w:firstLine="540"/>
        <w:jc w:val="both"/>
      </w:pPr>
    </w:p>
    <w:p w:rsidR="005B640A" w:rsidRPr="005B640A" w:rsidRDefault="001B603F" w:rsidP="008E0C85">
      <w:pPr>
        <w:pStyle w:val="headertext"/>
        <w:spacing w:before="0" w:beforeAutospacing="0" w:after="0" w:afterAutospacing="0"/>
        <w:jc w:val="center"/>
      </w:pPr>
      <w:r w:rsidRPr="001B603F">
        <w:rPr>
          <w:noProof/>
        </w:rPr>
        <w:drawing>
          <wp:inline distT="0" distB="0" distL="0" distR="0" wp14:anchorId="79E3DD8B" wp14:editId="35B724BE">
            <wp:extent cx="5940425" cy="2568319"/>
            <wp:effectExtent l="0" t="0" r="22225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39D0" w:rsidRPr="005B640A" w:rsidRDefault="002B39D0" w:rsidP="00F750FC">
      <w:pPr>
        <w:pStyle w:val="headertext"/>
        <w:spacing w:before="0" w:beforeAutospacing="0" w:after="0" w:afterAutospacing="0"/>
        <w:ind w:firstLine="540"/>
        <w:jc w:val="both"/>
      </w:pPr>
    </w:p>
    <w:p w:rsidR="00660B5C" w:rsidRPr="00C716F4" w:rsidRDefault="00660B5C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B5C">
        <w:rPr>
          <w:rFonts w:ascii="Times New Roman" w:hAnsi="Times New Roman" w:cs="Times New Roman"/>
          <w:b/>
          <w:sz w:val="24"/>
          <w:szCs w:val="24"/>
        </w:rPr>
        <w:t>Снижение безработицы в Камчатском крае в летний период объясняется началом лососевой путины в Камчатском крае, которые образуют много  временных рабочих мест.</w:t>
      </w:r>
      <w:r w:rsidRPr="00C7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260">
        <w:rPr>
          <w:rFonts w:ascii="Times New Roman" w:hAnsi="Times New Roman" w:cs="Times New Roman"/>
          <w:b/>
          <w:sz w:val="24"/>
          <w:szCs w:val="24"/>
        </w:rPr>
        <w:t>П</w:t>
      </w:r>
      <w:r w:rsidRPr="00C716F4">
        <w:rPr>
          <w:rFonts w:ascii="Times New Roman" w:hAnsi="Times New Roman" w:cs="Times New Roman"/>
          <w:b/>
          <w:sz w:val="24"/>
          <w:szCs w:val="24"/>
        </w:rPr>
        <w:t>осле окончания сезонных работ численность безработных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вновь</w:t>
      </w:r>
      <w:r w:rsidRPr="00C716F4">
        <w:rPr>
          <w:rFonts w:ascii="Times New Roman" w:hAnsi="Times New Roman" w:cs="Times New Roman"/>
          <w:b/>
          <w:sz w:val="24"/>
          <w:szCs w:val="24"/>
        </w:rPr>
        <w:t xml:space="preserve"> увеличится.</w:t>
      </w:r>
    </w:p>
    <w:p w:rsidR="001B603F" w:rsidRDefault="00030260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П</w:t>
      </w:r>
      <w:r w:rsidR="001B603F" w:rsidRPr="00660B5C">
        <w:rPr>
          <w:b/>
        </w:rPr>
        <w:t>о сравнению с августом 2016 года численность безработных граждан, состоящих на учете в центрах занятости населения, снизилась на 4,3 %.</w:t>
      </w:r>
    </w:p>
    <w:p w:rsidR="00347078" w:rsidRDefault="00030260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347078" w:rsidRPr="003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="00347078" w:rsidRPr="003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в связи с ликвидацией организаций либо сокращением численности или штата работников, а также неполной занятости работников с начала 2017 года составила 686 человек, что на 29,8% меньше, чем за аналогичный период 2016 года. Из числа уволенных работников трудоустроено 59 человек, назначена трудовая пенсия по старости 127 гражданам. В органы государственной службы занятости населения за содействием в трудоустройстве обратилось 399 человек, из них 25 человек трудоустроено, 120 человек признано безработными, 1 человек направлен на профессиональное обучение. </w:t>
      </w:r>
    </w:p>
    <w:p w:rsidR="0006550D" w:rsidRDefault="0006550D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23 августа 2017 года численность работников</w:t>
      </w:r>
      <w:r w:rsidR="000302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предполагаемых к увольнению определяется</w:t>
      </w:r>
      <w:r w:rsidRPr="00065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1121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2016 года количество всего уволенных составила </w:t>
      </w:r>
      <w:r w:rsidRPr="0006550D">
        <w:rPr>
          <w:rFonts w:ascii="Times New Roman" w:eastAsia="Times New Roman" w:hAnsi="Times New Roman" w:cs="Times New Roman"/>
          <w:sz w:val="24"/>
          <w:szCs w:val="24"/>
          <w:lang w:eastAsia="ru-RU"/>
        </w:rPr>
        <w:t>1743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E0FFA" w:rsidRDefault="008E0FFA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B01">
        <w:rPr>
          <w:rFonts w:ascii="Times New Roman" w:hAnsi="Times New Roman" w:cs="Times New Roman"/>
          <w:sz w:val="24"/>
          <w:szCs w:val="24"/>
        </w:rPr>
        <w:t xml:space="preserve">Необходимо отметить, что показатель численности безработицы, предоставляемый органами государственной службы занятости населения, по мнению профсоюзов, не отражает действительной ситуации, сложившейся в Камчатском крае. Подсчет зарегистрированных безработных не совсем объективно показывает реальную ситуацию, ведь не все потерявшие работу граждане обращаются в службу занятости. Не попадают в статистику также и граждане, которые формально не имеют никакой работы, но при этом могут заключать </w:t>
      </w:r>
      <w:proofErr w:type="spellStart"/>
      <w:r w:rsidRPr="00387B01">
        <w:rPr>
          <w:rFonts w:ascii="Times New Roman" w:hAnsi="Times New Roman" w:cs="Times New Roman"/>
          <w:sz w:val="24"/>
          <w:szCs w:val="24"/>
        </w:rPr>
        <w:t>красткосрочные</w:t>
      </w:r>
      <w:proofErr w:type="spellEnd"/>
      <w:r w:rsidRPr="00387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договоры</w:t>
      </w:r>
      <w:r w:rsidRPr="00387B01">
        <w:rPr>
          <w:rFonts w:ascii="Times New Roman" w:hAnsi="Times New Roman" w:cs="Times New Roman"/>
          <w:sz w:val="24"/>
          <w:szCs w:val="24"/>
        </w:rPr>
        <w:t xml:space="preserve"> с </w:t>
      </w:r>
      <w:r w:rsidR="00030260">
        <w:rPr>
          <w:rFonts w:ascii="Times New Roman" w:hAnsi="Times New Roman" w:cs="Times New Roman"/>
          <w:sz w:val="24"/>
          <w:szCs w:val="24"/>
        </w:rPr>
        <w:t>организациями</w:t>
      </w:r>
      <w:r w:rsidRPr="00387B01">
        <w:rPr>
          <w:rFonts w:ascii="Times New Roman" w:hAnsi="Times New Roman" w:cs="Times New Roman"/>
          <w:sz w:val="24"/>
          <w:szCs w:val="24"/>
        </w:rPr>
        <w:t xml:space="preserve"> и таким образом получают доход.</w:t>
      </w:r>
    </w:p>
    <w:p w:rsidR="0006550D" w:rsidRPr="0006550D" w:rsidRDefault="0006550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68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смотря на положительную динамику сокращения количества безработных граждан в Камчатском крае, на прежнем уровне остается </w:t>
      </w:r>
      <w:r w:rsidR="00030260">
        <w:rPr>
          <w:rFonts w:ascii="Times New Roman" w:hAnsi="Times New Roman" w:cs="Times New Roman"/>
          <w:sz w:val="24"/>
          <w:szCs w:val="24"/>
        </w:rPr>
        <w:t>размер</w:t>
      </w:r>
      <w:r w:rsidRPr="0006550D">
        <w:rPr>
          <w:rFonts w:ascii="Times New Roman" w:hAnsi="Times New Roman" w:cs="Times New Roman"/>
          <w:sz w:val="24"/>
          <w:szCs w:val="24"/>
        </w:rPr>
        <w:t xml:space="preserve"> пособия по безработице</w:t>
      </w:r>
      <w:r w:rsidR="00030260">
        <w:rPr>
          <w:rFonts w:ascii="Times New Roman" w:hAnsi="Times New Roman" w:cs="Times New Roman"/>
          <w:sz w:val="24"/>
          <w:szCs w:val="24"/>
        </w:rPr>
        <w:t>. Минимальный размер</w:t>
      </w:r>
      <w:r w:rsidRPr="0006550D">
        <w:rPr>
          <w:rFonts w:ascii="Times New Roman" w:hAnsi="Times New Roman" w:cs="Times New Roman"/>
          <w:sz w:val="24"/>
          <w:szCs w:val="24"/>
        </w:rPr>
        <w:t xml:space="preserve"> составляет 850 рублей, а максимальн</w:t>
      </w:r>
      <w:r w:rsidR="00030260">
        <w:rPr>
          <w:rFonts w:ascii="Times New Roman" w:hAnsi="Times New Roman" w:cs="Times New Roman"/>
          <w:sz w:val="24"/>
          <w:szCs w:val="24"/>
        </w:rPr>
        <w:t>ый</w:t>
      </w:r>
      <w:r w:rsidRPr="0006550D">
        <w:rPr>
          <w:rFonts w:ascii="Times New Roman" w:hAnsi="Times New Roman" w:cs="Times New Roman"/>
          <w:sz w:val="24"/>
          <w:szCs w:val="24"/>
        </w:rPr>
        <w:t xml:space="preserve"> </w:t>
      </w:r>
      <w:r w:rsidR="00030260">
        <w:rPr>
          <w:rFonts w:ascii="Times New Roman" w:hAnsi="Times New Roman" w:cs="Times New Roman"/>
          <w:sz w:val="24"/>
          <w:szCs w:val="24"/>
        </w:rPr>
        <w:t>определен</w:t>
      </w:r>
      <w:r w:rsidRPr="0006550D">
        <w:rPr>
          <w:rFonts w:ascii="Times New Roman" w:hAnsi="Times New Roman" w:cs="Times New Roman"/>
          <w:sz w:val="24"/>
          <w:szCs w:val="24"/>
        </w:rPr>
        <w:t xml:space="preserve"> в размере 4900 рублей.</w:t>
      </w:r>
    </w:p>
    <w:p w:rsidR="0006550D" w:rsidRDefault="0006550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0D">
        <w:rPr>
          <w:rFonts w:ascii="Times New Roman" w:hAnsi="Times New Roman" w:cs="Times New Roman"/>
          <w:sz w:val="24"/>
          <w:szCs w:val="24"/>
        </w:rPr>
        <w:t xml:space="preserve"> С учетом применения районного коэффициента, в Камчатском крае в 2017 году минимальный размер пособия составляет 1 360 рублей, максимальный - 7 840 рублей, за исключением Алеутского района, где минимальный размер – 1 700 рублей, максимальный - 9 800 рублей. </w:t>
      </w:r>
    </w:p>
    <w:p w:rsidR="00D02C06" w:rsidRDefault="00D02C06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C06" w:rsidRPr="00D02C06" w:rsidRDefault="00D02C06" w:rsidP="00F750FC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2C06">
        <w:rPr>
          <w:rFonts w:ascii="Times New Roman" w:hAnsi="Times New Roman" w:cs="Times New Roman"/>
          <w:i/>
          <w:sz w:val="24"/>
          <w:szCs w:val="24"/>
        </w:rPr>
        <w:t>Размер пособия по безработице в Камчатском крае за период 2005г. – 2017г.</w:t>
      </w:r>
    </w:p>
    <w:p w:rsidR="0006550D" w:rsidRDefault="0006550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9619E" wp14:editId="58F2C702">
            <wp:extent cx="5940425" cy="1465333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6550D" w:rsidRDefault="0006550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50D" w:rsidRPr="0006550D" w:rsidRDefault="0006550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50D">
        <w:rPr>
          <w:rFonts w:ascii="Times New Roman" w:hAnsi="Times New Roman" w:cs="Times New Roman"/>
          <w:b/>
          <w:sz w:val="24"/>
          <w:szCs w:val="24"/>
        </w:rPr>
        <w:t>Федерация профсоюзов Камчатки считает, что величина пособия по безработице, которая остается неизменной в течение восьми лет, явно занижена и не отражает реальной ситуации с ценами на товары и услуги первой необходимости в Камчатском крае, в стране в целом. Граждане, признанные безработными, явно поражены в правах на достойную жизнь, пусть и по минимальным стандартам.</w:t>
      </w:r>
    </w:p>
    <w:p w:rsidR="0006550D" w:rsidRDefault="0006550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78" w:rsidRPr="00660B5C" w:rsidRDefault="00347078" w:rsidP="00F750FC">
      <w:pPr>
        <w:pStyle w:val="headertext"/>
        <w:spacing w:before="0" w:beforeAutospacing="0" w:after="0" w:afterAutospacing="0"/>
        <w:ind w:firstLine="540"/>
        <w:jc w:val="both"/>
        <w:rPr>
          <w:b/>
        </w:rPr>
      </w:pPr>
    </w:p>
    <w:p w:rsidR="0006550D" w:rsidRDefault="0006550D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39">
        <w:rPr>
          <w:rFonts w:ascii="Times New Roman" w:eastAsia="Times New Roman" w:hAnsi="Times New Roman" w:cs="Times New Roman"/>
          <w:b/>
          <w:sz w:val="24"/>
          <w:szCs w:val="24"/>
        </w:rPr>
        <w:t>ПЕНСИИ</w:t>
      </w:r>
    </w:p>
    <w:p w:rsidR="00D36856" w:rsidRDefault="00D36856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50D" w:rsidRDefault="00D36856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856">
        <w:rPr>
          <w:rFonts w:ascii="Times New Roman" w:hAnsi="Times New Roman" w:cs="Times New Roman"/>
          <w:sz w:val="24"/>
          <w:szCs w:val="24"/>
        </w:rPr>
        <w:t>По данным Отделения Пенсионного фонда РФ по Камчатскому краю, средний размер страховой пенсии в августе 2017 года по итогам II квартала 2017 г</w:t>
      </w:r>
      <w:r>
        <w:rPr>
          <w:rFonts w:ascii="Times New Roman" w:hAnsi="Times New Roman" w:cs="Times New Roman"/>
          <w:sz w:val="24"/>
          <w:szCs w:val="24"/>
        </w:rPr>
        <w:t>ода составляет 20 302,94 рублей</w:t>
      </w:r>
      <w:r w:rsidR="004678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начала 2016 года, несмотря на</w:t>
      </w:r>
      <w:r w:rsidR="00467853">
        <w:rPr>
          <w:rFonts w:ascii="Times New Roman" w:hAnsi="Times New Roman" w:cs="Times New Roman"/>
          <w:sz w:val="24"/>
          <w:szCs w:val="24"/>
        </w:rPr>
        <w:t xml:space="preserve"> то, что</w:t>
      </w:r>
      <w:r w:rsidR="00467853" w:rsidRPr="00467853">
        <w:rPr>
          <w:rFonts w:ascii="Times New Roman" w:hAnsi="Times New Roman" w:cs="Times New Roman"/>
          <w:sz w:val="24"/>
          <w:szCs w:val="24"/>
        </w:rPr>
        <w:t xml:space="preserve"> 1 февраля 2017 года страховые пенсии камчатских неработающих пенсионеров</w:t>
      </w:r>
      <w:r w:rsidR="00467853">
        <w:rPr>
          <w:rFonts w:ascii="Times New Roman" w:hAnsi="Times New Roman" w:cs="Times New Roman"/>
          <w:sz w:val="24"/>
          <w:szCs w:val="24"/>
        </w:rPr>
        <w:t xml:space="preserve"> были проиндексированы на 5,4%, средний размер страховой пенсии оказался всего на 2,8% выше показателя начала 2017 года </w:t>
      </w:r>
      <w:r w:rsidR="00467853" w:rsidRPr="00467853">
        <w:rPr>
          <w:rFonts w:ascii="Times New Roman" w:hAnsi="Times New Roman" w:cs="Times New Roman"/>
          <w:sz w:val="24"/>
          <w:szCs w:val="24"/>
        </w:rPr>
        <w:t>(</w:t>
      </w:r>
      <w:r w:rsidR="0046785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67853">
        <w:rPr>
          <w:rFonts w:ascii="Times New Roman" w:hAnsi="Times New Roman" w:cs="Times New Roman"/>
          <w:sz w:val="24"/>
          <w:szCs w:val="24"/>
        </w:rPr>
        <w:t xml:space="preserve"> квартал 2016 года).</w:t>
      </w:r>
    </w:p>
    <w:p w:rsidR="00D02C06" w:rsidRPr="00D36856" w:rsidRDefault="00D02C06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C85" w:rsidRDefault="00D02C06" w:rsidP="008E0C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2C06">
        <w:rPr>
          <w:rFonts w:ascii="Times New Roman" w:hAnsi="Times New Roman" w:cs="Times New Roman"/>
          <w:i/>
          <w:sz w:val="24"/>
          <w:szCs w:val="24"/>
        </w:rPr>
        <w:t>Средний размер пенсии в Камчатском крае</w:t>
      </w:r>
    </w:p>
    <w:p w:rsidR="00D36856" w:rsidRDefault="00D02C06" w:rsidP="008E0C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2C06">
        <w:rPr>
          <w:rFonts w:ascii="Times New Roman" w:hAnsi="Times New Roman" w:cs="Times New Roman"/>
          <w:i/>
          <w:sz w:val="24"/>
          <w:szCs w:val="24"/>
        </w:rPr>
        <w:t xml:space="preserve">за период </w:t>
      </w:r>
      <w:r w:rsidRPr="00D02C0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02C06">
        <w:rPr>
          <w:rFonts w:ascii="Times New Roman" w:hAnsi="Times New Roman" w:cs="Times New Roman"/>
          <w:i/>
          <w:sz w:val="24"/>
          <w:szCs w:val="24"/>
        </w:rPr>
        <w:t xml:space="preserve"> квартал 2016г. – </w:t>
      </w:r>
      <w:proofErr w:type="gramStart"/>
      <w:r w:rsidRPr="00D02C06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02C06">
        <w:rPr>
          <w:rFonts w:ascii="Times New Roman" w:hAnsi="Times New Roman" w:cs="Times New Roman"/>
          <w:i/>
          <w:sz w:val="24"/>
          <w:szCs w:val="24"/>
        </w:rPr>
        <w:t xml:space="preserve"> квартал 2017г.</w:t>
      </w:r>
      <w:proofErr w:type="gramEnd"/>
    </w:p>
    <w:p w:rsidR="008E0C85" w:rsidRPr="00D02C06" w:rsidRDefault="008E0C85" w:rsidP="008E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4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1276"/>
        <w:gridCol w:w="1418"/>
        <w:gridCol w:w="1417"/>
        <w:gridCol w:w="1276"/>
        <w:gridCol w:w="1276"/>
        <w:gridCol w:w="1559"/>
      </w:tblGrid>
      <w:tr w:rsidR="00D36856" w:rsidRPr="008E0C85" w:rsidTr="008E0C85">
        <w:trPr>
          <w:trHeight w:val="611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 размер: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8E0C85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C85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8E0C85">
              <w:rPr>
                <w:rFonts w:ascii="Times New Roman" w:eastAsia="Times New Roman" w:hAnsi="Times New Roman" w:cs="Times New Roman"/>
                <w:bCs/>
              </w:rPr>
              <w:t xml:space="preserve"> квартал 2016 года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8E0C85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C85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  <w:r w:rsidRPr="008E0C85">
              <w:rPr>
                <w:rFonts w:ascii="Times New Roman" w:eastAsia="Times New Roman" w:hAnsi="Times New Roman" w:cs="Times New Roman"/>
                <w:bCs/>
              </w:rPr>
              <w:t xml:space="preserve"> квартал 2016 года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8E0C85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C85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8E0C85">
              <w:rPr>
                <w:rFonts w:ascii="Times New Roman" w:eastAsia="Times New Roman" w:hAnsi="Times New Roman" w:cs="Times New Roman"/>
                <w:bCs/>
              </w:rPr>
              <w:t xml:space="preserve"> квартал 2016 года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8E0C85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C85">
              <w:rPr>
                <w:rFonts w:ascii="Times New Roman" w:eastAsia="Times New Roman" w:hAnsi="Times New Roman" w:cs="Times New Roman"/>
                <w:bCs/>
              </w:rPr>
              <w:t>1 февраля 2017 года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8E0C85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C85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8E0C85">
              <w:rPr>
                <w:rFonts w:ascii="Times New Roman" w:eastAsia="Times New Roman" w:hAnsi="Times New Roman" w:cs="Times New Roman"/>
                <w:bCs/>
              </w:rPr>
              <w:t xml:space="preserve"> квартал 2017 года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8E0C85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0C8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8E0C85">
              <w:rPr>
                <w:rFonts w:ascii="Times New Roman" w:eastAsia="Times New Roman" w:hAnsi="Times New Roman" w:cs="Times New Roman"/>
                <w:b/>
                <w:bCs/>
              </w:rPr>
              <w:t xml:space="preserve"> квартал 2017 года</w:t>
            </w:r>
          </w:p>
        </w:tc>
      </w:tr>
      <w:tr w:rsidR="00D36856" w:rsidRPr="00D36856" w:rsidTr="008E0C85">
        <w:trPr>
          <w:trHeight w:val="379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страховой пенсии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19 626,23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19 709,01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19 670,39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20 292,03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467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302,94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241,13</w:t>
            </w:r>
          </w:p>
        </w:tc>
      </w:tr>
      <w:tr w:rsidR="00D36856" w:rsidRPr="00D36856" w:rsidTr="008E0C85">
        <w:trPr>
          <w:trHeight w:val="399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старости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20 627,47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20 285,59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20 258,10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20 258,10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467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911,33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863,92</w:t>
            </w:r>
          </w:p>
        </w:tc>
      </w:tr>
      <w:tr w:rsidR="00D36856" w:rsidRPr="00D36856" w:rsidTr="008E0C85">
        <w:trPr>
          <w:trHeight w:val="393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инвалидности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11 367,76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11 476,70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11 441,29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11 828,78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467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844,80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797,06</w:t>
            </w:r>
          </w:p>
        </w:tc>
      </w:tr>
      <w:tr w:rsidR="00D36856" w:rsidRPr="00D36856" w:rsidTr="008E0C85">
        <w:trPr>
          <w:trHeight w:val="481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случаю потери кормильца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8 457,59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8 429,47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8 368,27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8 768,41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467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774,88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717,09</w:t>
            </w:r>
          </w:p>
        </w:tc>
      </w:tr>
      <w:tr w:rsidR="00D36856" w:rsidRPr="00D36856" w:rsidTr="008E0C85">
        <w:trPr>
          <w:trHeight w:val="525"/>
        </w:trPr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социальной пенсии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12 702,16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12 850,17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12 865,89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12 937,68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467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159,96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6856" w:rsidRPr="00D36856" w:rsidRDefault="00D36856" w:rsidP="008E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36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170,79</w:t>
            </w:r>
          </w:p>
        </w:tc>
      </w:tr>
    </w:tbl>
    <w:p w:rsidR="0006550D" w:rsidRDefault="0006550D" w:rsidP="00F750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856" w:rsidRDefault="00D36856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856">
        <w:rPr>
          <w:rFonts w:ascii="Times New Roman" w:hAnsi="Times New Roman" w:cs="Times New Roman"/>
          <w:sz w:val="24"/>
          <w:szCs w:val="24"/>
        </w:rPr>
        <w:t>Такое снижение</w:t>
      </w:r>
      <w:r w:rsidR="00030260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46785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30260">
        <w:rPr>
          <w:rFonts w:ascii="Times New Roman" w:hAnsi="Times New Roman" w:cs="Times New Roman"/>
          <w:sz w:val="24"/>
          <w:szCs w:val="24"/>
        </w:rPr>
        <w:t>я</w:t>
      </w:r>
      <w:r w:rsidR="00467853">
        <w:rPr>
          <w:rFonts w:ascii="Times New Roman" w:hAnsi="Times New Roman" w:cs="Times New Roman"/>
          <w:sz w:val="24"/>
          <w:szCs w:val="24"/>
        </w:rPr>
        <w:t xml:space="preserve"> Пенсионного фонда по Камчатскому краю</w:t>
      </w:r>
      <w:r w:rsidRPr="00D36856">
        <w:rPr>
          <w:rFonts w:ascii="Times New Roman" w:hAnsi="Times New Roman" w:cs="Times New Roman"/>
          <w:sz w:val="24"/>
          <w:szCs w:val="24"/>
        </w:rPr>
        <w:t xml:space="preserve"> объясня</w:t>
      </w:r>
      <w:r w:rsidR="00030260">
        <w:rPr>
          <w:rFonts w:ascii="Times New Roman" w:hAnsi="Times New Roman" w:cs="Times New Roman"/>
          <w:sz w:val="24"/>
          <w:szCs w:val="24"/>
        </w:rPr>
        <w:t>ют</w:t>
      </w:r>
      <w:r w:rsidRPr="00D36856">
        <w:rPr>
          <w:rFonts w:ascii="Times New Roman" w:hAnsi="Times New Roman" w:cs="Times New Roman"/>
          <w:sz w:val="24"/>
          <w:szCs w:val="24"/>
        </w:rPr>
        <w:t xml:space="preserve"> тем, что размер страховой пенсии напрямую зависит от длительности трудового стажа и определяется в процентах к прежнему трудовому доходу. В настоящее время граждане, выходящие на пенсию (196</w:t>
      </w:r>
      <w:r w:rsidR="00467853">
        <w:rPr>
          <w:rFonts w:ascii="Times New Roman" w:hAnsi="Times New Roman" w:cs="Times New Roman"/>
          <w:sz w:val="24"/>
          <w:szCs w:val="24"/>
        </w:rPr>
        <w:t>2</w:t>
      </w:r>
      <w:r w:rsidRPr="00D36856">
        <w:rPr>
          <w:rFonts w:ascii="Times New Roman" w:hAnsi="Times New Roman" w:cs="Times New Roman"/>
          <w:sz w:val="24"/>
          <w:szCs w:val="24"/>
        </w:rPr>
        <w:t>-196</w:t>
      </w:r>
      <w:r w:rsidR="00467853">
        <w:rPr>
          <w:rFonts w:ascii="Times New Roman" w:hAnsi="Times New Roman" w:cs="Times New Roman"/>
          <w:sz w:val="24"/>
          <w:szCs w:val="24"/>
        </w:rPr>
        <w:t>7</w:t>
      </w:r>
      <w:r w:rsidRPr="00D36856">
        <w:rPr>
          <w:rFonts w:ascii="Times New Roman" w:hAnsi="Times New Roman" w:cs="Times New Roman"/>
          <w:sz w:val="24"/>
          <w:szCs w:val="24"/>
        </w:rPr>
        <w:t xml:space="preserve"> годов рождения)</w:t>
      </w:r>
      <w:r w:rsidR="00030260">
        <w:rPr>
          <w:rFonts w:ascii="Times New Roman" w:hAnsi="Times New Roman" w:cs="Times New Roman"/>
          <w:sz w:val="24"/>
          <w:szCs w:val="24"/>
        </w:rPr>
        <w:t>,</w:t>
      </w:r>
      <w:r w:rsidRPr="00D36856">
        <w:rPr>
          <w:rFonts w:ascii="Times New Roman" w:hAnsi="Times New Roman" w:cs="Times New Roman"/>
          <w:sz w:val="24"/>
          <w:szCs w:val="24"/>
        </w:rPr>
        <w:t xml:space="preserve"> имели небольшой доход, который, как известно, является базой для начисления страховых взносов и, соответственно, служит базой для определения размера пенсии. </w:t>
      </w:r>
    </w:p>
    <w:p w:rsidR="0028759D" w:rsidRDefault="0028759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Прожиточный минимум пенсионера в Камчатском крае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квартала 2017 года составляет 15524 рубля. </w:t>
      </w:r>
      <w:r w:rsidR="00030260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03026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30260">
        <w:rPr>
          <w:rFonts w:ascii="Times New Roman" w:hAnsi="Times New Roman" w:cs="Times New Roman"/>
          <w:sz w:val="24"/>
          <w:szCs w:val="24"/>
        </w:rPr>
        <w:t>е</w:t>
      </w:r>
      <w:r w:rsidR="007D1931">
        <w:rPr>
          <w:rFonts w:ascii="Times New Roman" w:hAnsi="Times New Roman" w:cs="Times New Roman"/>
          <w:sz w:val="24"/>
          <w:szCs w:val="24"/>
        </w:rPr>
        <w:t>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60">
        <w:rPr>
          <w:rFonts w:ascii="Times New Roman" w:hAnsi="Times New Roman" w:cs="Times New Roman"/>
          <w:sz w:val="24"/>
          <w:szCs w:val="24"/>
        </w:rPr>
        <w:t>средним размером страховой</w:t>
      </w:r>
      <w:r w:rsidR="007D1931">
        <w:rPr>
          <w:rFonts w:ascii="Times New Roman" w:hAnsi="Times New Roman" w:cs="Times New Roman"/>
          <w:sz w:val="24"/>
          <w:szCs w:val="24"/>
        </w:rPr>
        <w:t xml:space="preserve"> пенсии составляет 4 602,62 рубля. Р</w:t>
      </w:r>
      <w:r>
        <w:rPr>
          <w:rFonts w:ascii="Times New Roman" w:hAnsi="Times New Roman" w:cs="Times New Roman"/>
          <w:sz w:val="24"/>
          <w:szCs w:val="24"/>
        </w:rPr>
        <w:t>азмер пенсии на 22,9% выше показателя прожиточного минимума. Ежегодно разница между данными показателями сокращается.  Однако это сокращение вызвано в первую очередь не увеличением размера пенсии, а увеличением величины прожиточного минимума.</w:t>
      </w:r>
    </w:p>
    <w:p w:rsidR="0028759D" w:rsidRDefault="0028759D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C06" w:rsidRDefault="00D02C06" w:rsidP="00F750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B4E39">
        <w:rPr>
          <w:rFonts w:ascii="Times New Roman" w:hAnsi="Times New Roman" w:cs="Times New Roman"/>
          <w:i/>
          <w:sz w:val="24"/>
          <w:szCs w:val="24"/>
        </w:rPr>
        <w:t>Соотношение  величины официального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E39">
        <w:rPr>
          <w:rFonts w:ascii="Times New Roman" w:hAnsi="Times New Roman" w:cs="Times New Roman"/>
          <w:i/>
          <w:sz w:val="24"/>
          <w:szCs w:val="24"/>
        </w:rPr>
        <w:t>прожиточного минимума</w:t>
      </w:r>
      <w:r>
        <w:rPr>
          <w:rFonts w:ascii="Times New Roman" w:hAnsi="Times New Roman" w:cs="Times New Roman"/>
          <w:i/>
          <w:sz w:val="24"/>
          <w:szCs w:val="24"/>
        </w:rPr>
        <w:t xml:space="preserve"> пенсионера</w:t>
      </w:r>
      <w:r w:rsidRPr="008B4E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среднего размера страховой пенсии в Камчатском крае</w:t>
      </w:r>
      <w:r w:rsidRPr="008B4E39">
        <w:rPr>
          <w:rFonts w:ascii="Times New Roman" w:hAnsi="Times New Roman" w:cs="Times New Roman"/>
          <w:i/>
          <w:sz w:val="24"/>
          <w:szCs w:val="24"/>
        </w:rPr>
        <w:t xml:space="preserve"> за период </w:t>
      </w:r>
    </w:p>
    <w:p w:rsidR="00D02C06" w:rsidRDefault="00D02C06" w:rsidP="003A7B0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2015</w:t>
      </w:r>
      <w:r w:rsidRPr="008B4E3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2017 года.</w:t>
      </w:r>
    </w:p>
    <w:p w:rsidR="00467853" w:rsidRDefault="00467853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C9850B" wp14:editId="7201F7B8">
            <wp:extent cx="5940425" cy="3047158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7853" w:rsidRDefault="00467853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59D" w:rsidRDefault="00030260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</w:t>
      </w:r>
      <w:r w:rsidR="0028759D">
        <w:rPr>
          <w:rFonts w:ascii="Times New Roman" w:eastAsia="Times New Roman" w:hAnsi="Times New Roman" w:cs="Times New Roman"/>
          <w:sz w:val="24"/>
          <w:szCs w:val="24"/>
        </w:rPr>
        <w:t xml:space="preserve"> последних лет платежеспособность пенсионеров Камчатки значительно снижается, так средний размер страховой пенсии с 2015 года увеличился всего на 12,2% или 1683 рубля. В то время как по итогам 2015 года инфляция составила 12,6%, за 2016 год еще 5,7% и за 1 полугодие 2017 года уровень инфляции 4,6%. </w:t>
      </w:r>
    </w:p>
    <w:p w:rsidR="0028759D" w:rsidRDefault="00030260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36856" w:rsidRPr="00D3685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соответствии с изменениями в пенсионном законодательстве, с 2016 года работающие пенсионеры получают страховую пенсию без учета плановых индекса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ций. Однако Правительство РФ после</w:t>
      </w:r>
      <w:r w:rsidR="00D36856" w:rsidRPr="00D36856">
        <w:rPr>
          <w:rFonts w:ascii="Times New Roman" w:eastAsia="Times New Roman" w:hAnsi="Times New Roman" w:cs="Times New Roman"/>
          <w:b/>
          <w:sz w:val="24"/>
          <w:szCs w:val="24"/>
        </w:rPr>
        <w:t xml:space="preserve"> жесткой критик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36856" w:rsidRPr="00D368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ФНПР решило</w:t>
      </w:r>
      <w:r w:rsidR="00D36856" w:rsidRPr="00D368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проиндексировать в августе 2017 год</w:t>
      </w:r>
      <w:r w:rsidR="0028759D">
        <w:rPr>
          <w:rFonts w:ascii="Times New Roman" w:eastAsia="Times New Roman" w:hAnsi="Times New Roman" w:cs="Times New Roman"/>
          <w:b/>
          <w:sz w:val="24"/>
          <w:szCs w:val="24"/>
        </w:rPr>
        <w:t>а пенсию работающим пенсионерам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875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853" w:rsidRPr="00467853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отличие от традиционной индексации страховых пенсий, когда их размеры увеличиваются на определенный процент,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данная </w:t>
      </w:r>
      <w:r w:rsidR="00467853" w:rsidRPr="00467853">
        <w:rPr>
          <w:rFonts w:ascii="Times New Roman" w:eastAsia="Times New Roman" w:hAnsi="Times New Roman" w:cs="Times New Roman"/>
          <w:b/>
          <w:sz w:val="24"/>
          <w:szCs w:val="24"/>
        </w:rPr>
        <w:t>прибавка к пенсии носит индивидуальный характер: ее размер зависит от уровня заработной платы работавшего в 2016 году пенсионера, пересчитанной в пенсионные баллы, количество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оторых составляет не более трех и не превышает 235 рублей.</w:t>
      </w:r>
    </w:p>
    <w:p w:rsidR="00D02C06" w:rsidRDefault="0028759D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мнению профсоюзов, такая индексация </w:t>
      </w:r>
      <w:r w:rsidRPr="00467853">
        <w:rPr>
          <w:rFonts w:ascii="Times New Roman" w:eastAsia="Times New Roman" w:hAnsi="Times New Roman" w:cs="Times New Roman"/>
          <w:b/>
          <w:sz w:val="24"/>
          <w:szCs w:val="24"/>
        </w:rPr>
        <w:t>ничего не компенсирует: ни рост цен, ни рост квартплаты, ни даже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моральные издержки работников</w:t>
      </w:r>
      <w:r w:rsidRPr="004678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8759D" w:rsidRDefault="0028759D" w:rsidP="0003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260">
        <w:rPr>
          <w:rFonts w:ascii="Times New Roman" w:eastAsia="Times New Roman" w:hAnsi="Times New Roman" w:cs="Times New Roman"/>
          <w:sz w:val="24"/>
          <w:szCs w:val="24"/>
        </w:rPr>
        <w:t xml:space="preserve">Так, среднего размера пенсии в Камчатском крае хватит </w:t>
      </w:r>
      <w:proofErr w:type="gramStart"/>
      <w:r w:rsidRPr="000302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302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260" w:rsidRPr="00030260" w:rsidRDefault="00030260" w:rsidP="00030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759D" w:rsidTr="00287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28759D" w:rsidTr="00287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Отдых в санатории «</w:t>
            </w:r>
            <w:proofErr w:type="spellStart"/>
            <w:r>
              <w:rPr>
                <w:rFonts w:ascii="Times New Roman" w:hAnsi="Times New Roman" w:cs="Times New Roman"/>
              </w:rPr>
              <w:t>Начики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28759D" w:rsidTr="00287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Валидол (1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258,7</w:t>
            </w:r>
          </w:p>
        </w:tc>
      </w:tr>
      <w:tr w:rsidR="0028759D" w:rsidTr="00287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Макаронные изделия (1кг)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163,4</w:t>
            </w:r>
          </w:p>
        </w:tc>
      </w:tr>
      <w:tr w:rsidR="0028759D" w:rsidTr="0028759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D" w:rsidRDefault="0028759D" w:rsidP="008E0C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</w:tbl>
    <w:p w:rsidR="0028759D" w:rsidRDefault="0028759D" w:rsidP="00F750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C85" w:rsidRDefault="0028759D" w:rsidP="008E0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 на продукты питания увеличились за 2017 год в среднем на 10%, стоимость коммунальных платежей возросла на 1,7%, стоимость лекарства </w:t>
      </w:r>
      <w:r w:rsidR="00030260">
        <w:rPr>
          <w:rFonts w:ascii="Times New Roman" w:eastAsia="Times New Roman" w:hAnsi="Times New Roman" w:cs="Times New Roman"/>
          <w:sz w:val="24"/>
          <w:szCs w:val="24"/>
        </w:rPr>
        <w:t xml:space="preserve">растет системно во всех ценовых сегментах. </w:t>
      </w:r>
    </w:p>
    <w:p w:rsidR="00D36856" w:rsidRPr="00D737AE" w:rsidRDefault="00030260" w:rsidP="008E0C8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8759D">
        <w:rPr>
          <w:rFonts w:ascii="Times New Roman" w:eastAsia="Times New Roman" w:hAnsi="Times New Roman" w:cs="Times New Roman"/>
          <w:b/>
          <w:sz w:val="24"/>
          <w:szCs w:val="24"/>
        </w:rPr>
        <w:t xml:space="preserve">тсутствие реальной индексации пенсий работающим пенсионерам - </w:t>
      </w:r>
      <w:r w:rsidR="0028759D" w:rsidRPr="0046785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 утрата стимулов для работающи</w:t>
      </w:r>
      <w:r w:rsidR="00D737AE">
        <w:rPr>
          <w:rFonts w:ascii="Times New Roman" w:eastAsia="Times New Roman" w:hAnsi="Times New Roman" w:cs="Times New Roman"/>
          <w:b/>
          <w:sz w:val="24"/>
          <w:szCs w:val="24"/>
        </w:rPr>
        <w:t>х пенсионеров работать легально, что повышает уровень теневой экономики и снижает количество, поступающих в бюджет, денежных средств.</w:t>
      </w:r>
    </w:p>
    <w:p w:rsidR="0028759D" w:rsidRDefault="0028759D" w:rsidP="00F750FC">
      <w:pPr>
        <w:spacing w:line="240" w:lineRule="auto"/>
        <w:ind w:firstLine="540"/>
        <w:jc w:val="both"/>
      </w:pPr>
    </w:p>
    <w:p w:rsidR="00D737AE" w:rsidRDefault="00001874" w:rsidP="00F750FC">
      <w:pPr>
        <w:spacing w:after="0" w:line="240" w:lineRule="auto"/>
        <w:ind w:right="-143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D737AE" w:rsidRPr="00CC7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4730" w:rsidRDefault="000A4730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>
        <w:t>П</w:t>
      </w:r>
      <w:r w:rsidRPr="007E3A3A">
        <w:t>отребительская корзина для основных социально-демографических групп населения в Камчатском крае</w:t>
      </w:r>
      <w:r w:rsidR="00030260">
        <w:t>,</w:t>
      </w:r>
      <w:r>
        <w:t xml:space="preserve"> утвержденная</w:t>
      </w:r>
      <w:r w:rsidRPr="007E3A3A">
        <w:t xml:space="preserve"> в 2013 </w:t>
      </w:r>
      <w:r>
        <w:t>году</w:t>
      </w:r>
      <w:r w:rsidR="00030260">
        <w:t>,</w:t>
      </w:r>
      <w:r>
        <w:t xml:space="preserve"> требует пересмотра в связи с </w:t>
      </w:r>
      <w:r w:rsidRPr="000A4730">
        <w:t>недостаточны</w:t>
      </w:r>
      <w:r>
        <w:t>м</w:t>
      </w:r>
      <w:r w:rsidRPr="000A4730">
        <w:t xml:space="preserve">  набор</w:t>
      </w:r>
      <w:r>
        <w:t>ом</w:t>
      </w:r>
      <w:r w:rsidRPr="000A4730">
        <w:t xml:space="preserve"> товаров и услуг</w:t>
      </w:r>
      <w:r>
        <w:t>. Необходимо расширить перечень продовольственных и промышленных товаров, который войдет в потребительскую корзину с 2018 года.</w:t>
      </w:r>
    </w:p>
    <w:p w:rsidR="00AD4149" w:rsidRDefault="000A4730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>
        <w:t>Рост прожиточного минимума не отражает</w:t>
      </w:r>
      <w:r w:rsidR="00B16967">
        <w:t xml:space="preserve"> роста</w:t>
      </w:r>
      <w:r>
        <w:t xml:space="preserve"> стоимости ре</w:t>
      </w:r>
      <w:r w:rsidR="00AD4149">
        <w:t>альной потребительской корзины</w:t>
      </w:r>
      <w:r>
        <w:t xml:space="preserve">. </w:t>
      </w:r>
      <w:r w:rsidR="00AD4149" w:rsidRPr="00AD4149">
        <w:t>Прожиточный минимум трудоспособного гражданина в Камчатском крае по-прежнему не может обеспечить минимальных потребностей человека, а, соответственно, служить достаточным критерием платежеспособности населения.</w:t>
      </w:r>
      <w:r w:rsidR="00AD4149">
        <w:t xml:space="preserve"> Необходимо пересмотреть расчет прожиточного минимума исходя из реальных потребностей человека.</w:t>
      </w:r>
    </w:p>
    <w:p w:rsidR="00B16967" w:rsidRPr="000A4730" w:rsidRDefault="00B16967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 w:rsidRPr="000A4730">
        <w:t xml:space="preserve">Согласно статистике, в Камчатском крае в 2016 году численность населения с денежными доходами ниже величины прожиточного минимума (черта бедности) составила 19,5 % (более 61 тысячи человек) от общей численности населения края (2016 год – 316,1 тысяч человек). </w:t>
      </w:r>
      <w:r>
        <w:t xml:space="preserve">Такой показатель </w:t>
      </w:r>
      <w:r w:rsidR="00617DEE">
        <w:t xml:space="preserve">косвенно подтверждает вывод о "конвертной системе оплаты труда </w:t>
      </w:r>
      <w:r>
        <w:t xml:space="preserve">в Камчатском крае. </w:t>
      </w:r>
      <w:r w:rsidRPr="000A4730">
        <w:t>Необходимо усилить работу рабочих групп по снижению неформальной занятости, легализации «серой» заработной платы, повышению собираемости страховых взносов в Пенсионный фонд РФ, созданных во всех муниципальных районах Камчатского края в части повышения результативности и эффективности их работы.</w:t>
      </w:r>
    </w:p>
    <w:p w:rsidR="00B16967" w:rsidRDefault="00B16967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 w:rsidRPr="00B16967">
        <w:t>Индекс потребительских цен по данным Камчатстата (январь 2017г. к июню 2017г.) составляет 4,6</w:t>
      </w:r>
      <w:r>
        <w:t>%.</w:t>
      </w:r>
      <w:r w:rsidRPr="00B16967">
        <w:t xml:space="preserve"> С начала 2017 года по данным мониторинга, проведенного Федерацией профсоюзов Камчатки</w:t>
      </w:r>
      <w:r w:rsidR="00617DEE">
        <w:t>,</w:t>
      </w:r>
      <w:r w:rsidRPr="00B16967">
        <w:t xml:space="preserve"> цены на продукты питания увеличились, в среднем, на 10%.  А на отдельные продукты питания более, чем на 20%.</w:t>
      </w:r>
      <w:r w:rsidRPr="00F24527">
        <w:t xml:space="preserve"> </w:t>
      </w:r>
      <w:proofErr w:type="gramStart"/>
      <w:r>
        <w:t>Однако</w:t>
      </w:r>
      <w:proofErr w:type="gramEnd"/>
      <w:r>
        <w:t xml:space="preserve"> несмотря на </w:t>
      </w:r>
      <w:r w:rsidRPr="00B16967">
        <w:t>позитивные тенденции по стабилизации и снижению цен по ряду позиций на товары первой необходимости, Федерация профсоюзов Камчатки отмечает отсутствие спада цен на плодоовощную продукцию, которая</w:t>
      </w:r>
      <w:r w:rsidR="00617DEE">
        <w:t xml:space="preserve"> раньше</w:t>
      </w:r>
      <w:r w:rsidRPr="00B16967">
        <w:t xml:space="preserve"> ежегодно отмечалась в летний период в связи с сезонностью.</w:t>
      </w:r>
      <w:r w:rsidRPr="0017652E">
        <w:t xml:space="preserve"> </w:t>
      </w:r>
      <w:r>
        <w:t xml:space="preserve">Необходимо провести работу по стабилизации цен на товары первой необходимости, особое </w:t>
      </w:r>
      <w:proofErr w:type="gramStart"/>
      <w:r>
        <w:t>внимание</w:t>
      </w:r>
      <w:proofErr w:type="gramEnd"/>
      <w:r>
        <w:t xml:space="preserve"> уделив стоимости</w:t>
      </w:r>
      <w:r w:rsidR="00D9225F">
        <w:t xml:space="preserve"> продуктов от</w:t>
      </w:r>
      <w:r>
        <w:t xml:space="preserve"> Камчатски</w:t>
      </w:r>
      <w:r w:rsidR="00D9225F">
        <w:t>х</w:t>
      </w:r>
      <w:r>
        <w:t xml:space="preserve"> производителей.</w:t>
      </w:r>
    </w:p>
    <w:p w:rsidR="00B16967" w:rsidRDefault="00B16967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>
        <w:t>Д</w:t>
      </w:r>
      <w:r w:rsidRPr="00B16967">
        <w:t xml:space="preserve">енежные доходы населения снизились на 6,1%, а индексация заработной платы в 2017 году не производилась вовсе. </w:t>
      </w:r>
      <w:proofErr w:type="gramStart"/>
      <w:r w:rsidRPr="00B16967">
        <w:t>Необходимо рассмотреть возможность о повышении заработной платы в бюджетной и внебюджетной сферах Камчатского края.</w:t>
      </w:r>
      <w:proofErr w:type="gramEnd"/>
    </w:p>
    <w:p w:rsidR="00B16967" w:rsidRPr="00B16967" w:rsidRDefault="00B16967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>
        <w:t>Минимальная заработная плата в Камчатском крае остается неизменной с 1 июля 2016 года и составляет 16</w:t>
      </w:r>
      <w:r w:rsidR="00273ED0">
        <w:t>910 рублей</w:t>
      </w:r>
      <w:r w:rsidR="00617DEE">
        <w:t>.</w:t>
      </w:r>
      <w:r w:rsidR="00273ED0">
        <w:t xml:space="preserve"> </w:t>
      </w:r>
      <w:r w:rsidR="00617DEE">
        <w:t>М</w:t>
      </w:r>
      <w:r w:rsidR="00FE190D">
        <w:t xml:space="preserve">инимальная заработная плата составляет </w:t>
      </w:r>
      <w:r w:rsidR="00617DEE">
        <w:t xml:space="preserve">83% от прожиточного минимума трудоспособного человека в Камчатском крае по итогам </w:t>
      </w:r>
      <w:r w:rsidR="00617DEE">
        <w:rPr>
          <w:lang w:val="en-US"/>
        </w:rPr>
        <w:t>II</w:t>
      </w:r>
      <w:r w:rsidR="00617DEE">
        <w:t xml:space="preserve"> квартала 2017 года.</w:t>
      </w:r>
      <w:r w:rsidR="00273ED0">
        <w:t xml:space="preserve"> Необходимо повысить размер минимальной заработной платы до уровня не ниже величины прожиточного минимума трудоспособного человека в Камчатском крае. </w:t>
      </w:r>
    </w:p>
    <w:p w:rsidR="00273ED0" w:rsidRDefault="00273ED0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>
        <w:t>У</w:t>
      </w:r>
      <w:r w:rsidRPr="00273ED0">
        <w:t xml:space="preserve">ровень реальной средней заработной платы </w:t>
      </w:r>
      <w:r w:rsidR="006A1C24">
        <w:t>по-прежнему</w:t>
      </w:r>
      <w:r w:rsidRPr="00273ED0">
        <w:t xml:space="preserve"> остается неопределенным</w:t>
      </w:r>
      <w:r w:rsidR="00617DEE">
        <w:t>.</w:t>
      </w:r>
      <w:r w:rsidRPr="00273ED0">
        <w:t xml:space="preserve"> 15% населения получают зараб</w:t>
      </w:r>
      <w:r w:rsidR="006A1C24">
        <w:t>отную плату ниже 16 910 рублей. С</w:t>
      </w:r>
      <w:r w:rsidRPr="00273ED0">
        <w:t xml:space="preserve">редняя заработная плата по данным центра занятости около 36 тысяч рублей, в то </w:t>
      </w:r>
      <w:r w:rsidRPr="00273ED0">
        <w:lastRenderedPageBreak/>
        <w:t xml:space="preserve">время как по данным Камчатстата она составляет более 71 тысячи рублей. </w:t>
      </w:r>
      <w:r w:rsidR="00617DEE">
        <w:t>П</w:t>
      </w:r>
      <w:r w:rsidRPr="00273ED0">
        <w:t xml:space="preserve">о данным </w:t>
      </w:r>
      <w:proofErr w:type="spellStart"/>
      <w:r w:rsidRPr="00273ED0">
        <w:t>Камчатстата</w:t>
      </w:r>
      <w:proofErr w:type="spellEnd"/>
      <w:r w:rsidRPr="00273ED0">
        <w:t xml:space="preserve"> средняя заработная плата с января 2017 года выросла на 24,7%,</w:t>
      </w:r>
      <w:r w:rsidR="00617DEE">
        <w:t xml:space="preserve"> а</w:t>
      </w:r>
      <w:r w:rsidRPr="00273ED0">
        <w:t xml:space="preserve"> денежные дох</w:t>
      </w:r>
      <w:r w:rsidR="00617DEE">
        <w:t>оды населения снизились на 6,1%. И</w:t>
      </w:r>
      <w:r w:rsidRPr="00273ED0">
        <w:t>ндексация заработной платы в 2</w:t>
      </w:r>
      <w:r w:rsidR="00617DEE">
        <w:t>017 году не производилась.</w:t>
      </w:r>
      <w:r w:rsidRPr="00273ED0">
        <w:t xml:space="preserve"> Необходимо наладить межведомственное взаимодействие между ответственными министерствами и ведомствами Правительства Камчатского края и федеральными структурами для точного</w:t>
      </w:r>
      <w:r w:rsidR="006A1C24">
        <w:t xml:space="preserve">  и единообразного</w:t>
      </w:r>
      <w:r w:rsidRPr="00273ED0">
        <w:t xml:space="preserve"> определения экономических показателей в крае.</w:t>
      </w:r>
    </w:p>
    <w:p w:rsidR="00273ED0" w:rsidRPr="00617DEE" w:rsidRDefault="006A1C24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</w:pPr>
      <w:r>
        <w:t>Несмотря на снижение</w:t>
      </w:r>
      <w:r w:rsidR="00273ED0">
        <w:t xml:space="preserve"> показател</w:t>
      </w:r>
      <w:r>
        <w:t>я</w:t>
      </w:r>
      <w:r w:rsidR="00273ED0">
        <w:t xml:space="preserve"> задолженности</w:t>
      </w:r>
      <w:r w:rsidR="00617DEE">
        <w:t xml:space="preserve"> по заработной плате</w:t>
      </w:r>
      <w:r w:rsidR="00273ED0">
        <w:t xml:space="preserve"> в Камчатском крае </w:t>
      </w:r>
      <w:r>
        <w:t>(</w:t>
      </w:r>
      <w:r w:rsidR="00273ED0">
        <w:t>на 26,7% ниже, чем в августе 2016 года</w:t>
      </w:r>
      <w:r>
        <w:t xml:space="preserve">) и снижение </w:t>
      </w:r>
      <w:r w:rsidR="00273ED0">
        <w:t>более чем в 2 раза количеств</w:t>
      </w:r>
      <w:r>
        <w:t>а</w:t>
      </w:r>
      <w:r w:rsidR="00273ED0">
        <w:t xml:space="preserve"> работников, пере</w:t>
      </w:r>
      <w:r>
        <w:t>д которыми имеется задолженность, с</w:t>
      </w:r>
      <w:r w:rsidR="00273ED0" w:rsidRPr="001F2C3E">
        <w:t xml:space="preserve">ерьезной проблемой </w:t>
      </w:r>
      <w:r w:rsidR="00273ED0" w:rsidRPr="00617DEE">
        <w:t>остается латентная задолженность</w:t>
      </w:r>
      <w:r w:rsidR="00617DEE" w:rsidRPr="00617DEE">
        <w:t xml:space="preserve"> по заработной плате</w:t>
      </w:r>
      <w:r w:rsidR="001F2C3E" w:rsidRPr="00617DEE">
        <w:t xml:space="preserve">. </w:t>
      </w:r>
      <w:r w:rsidRPr="00617DEE">
        <w:t>П</w:t>
      </w:r>
      <w:r w:rsidR="00273ED0" w:rsidRPr="00617DEE">
        <w:t xml:space="preserve">о обобщенным данным контрольно - надзорных органов Камчатского края, неофициальная (латентная) задолженность по заработной плате по состоянию на 1 августа 2017 года составляет 68 690 миллионов рублей перед 773 работниками у 19 организаций. </w:t>
      </w:r>
      <w:r w:rsidR="001F2C3E" w:rsidRPr="00617DEE">
        <w:t>Н</w:t>
      </w:r>
      <w:r w:rsidR="00273ED0" w:rsidRPr="00617DEE">
        <w:t>еобходим</w:t>
      </w:r>
      <w:r w:rsidR="001F2C3E" w:rsidRPr="00617DEE">
        <w:t>о</w:t>
      </w:r>
      <w:r w:rsidR="00273ED0" w:rsidRPr="00617DEE">
        <w:t xml:space="preserve"> ужесточить персональную ответственность руководителей предприятий, что повысит эффективность работы по погашению задолженности.</w:t>
      </w:r>
    </w:p>
    <w:p w:rsidR="00CE2E0A" w:rsidRPr="002B5CCA" w:rsidRDefault="002B5CCA" w:rsidP="008E0C85">
      <w:pPr>
        <w:pStyle w:val="headertext"/>
        <w:numPr>
          <w:ilvl w:val="0"/>
          <w:numId w:val="4"/>
        </w:numPr>
        <w:spacing w:before="0" w:beforeAutospacing="0" w:after="0" w:afterAutospacing="0"/>
        <w:ind w:left="567" w:firstLine="540"/>
        <w:jc w:val="both"/>
        <w:rPr>
          <w:b/>
        </w:rPr>
      </w:pPr>
      <w:r w:rsidRPr="00617DEE">
        <w:t>П</w:t>
      </w:r>
      <w:r w:rsidR="00CE2E0A" w:rsidRPr="00617DEE">
        <w:t>о сравнению с августом 2016 года численность безработных граждан, состоящих на учете в центрах занятости населения, сни</w:t>
      </w:r>
      <w:r w:rsidR="00617DEE">
        <w:t>зилась на 4,3 %.</w:t>
      </w:r>
      <w:r w:rsidRPr="00617DEE">
        <w:t xml:space="preserve"> </w:t>
      </w:r>
      <w:r w:rsidR="00617DEE">
        <w:t>С</w:t>
      </w:r>
      <w:r w:rsidR="00CE2E0A" w:rsidRPr="00617DEE">
        <w:t xml:space="preserve"> начала 2017 года численность уволенных работников составила 686 человек, что на 29,8% меньше, чем за аналогичный период 2016 года.</w:t>
      </w:r>
      <w:r w:rsidRPr="00617DEE">
        <w:t xml:space="preserve"> </w:t>
      </w:r>
      <w:r w:rsidR="00CE2E0A" w:rsidRPr="00617DEE">
        <w:t xml:space="preserve">Отмечая положительную динамику сокращения количества безработных граждан в Камчатском крае, </w:t>
      </w:r>
      <w:r w:rsidR="006A1C24" w:rsidRPr="00617DEE">
        <w:t>следует напомнить</w:t>
      </w:r>
      <w:r w:rsidR="000C601B">
        <w:t>, что</w:t>
      </w:r>
      <w:r w:rsidR="00CE2E0A" w:rsidRPr="00617DEE">
        <w:t xml:space="preserve"> минимальн</w:t>
      </w:r>
      <w:r w:rsidR="00617DEE">
        <w:t>ый размер</w:t>
      </w:r>
      <w:r w:rsidR="000C601B">
        <w:t xml:space="preserve"> </w:t>
      </w:r>
      <w:r w:rsidR="00CE2E0A" w:rsidRPr="00617DEE">
        <w:t>пособия по безработице, котор</w:t>
      </w:r>
      <w:r w:rsidR="006A1C24" w:rsidRPr="00617DEE">
        <w:t>ый</w:t>
      </w:r>
      <w:r w:rsidR="00CE2E0A" w:rsidRPr="00617DEE">
        <w:t xml:space="preserve"> с учетом применения районного коэффициента</w:t>
      </w:r>
      <w:r w:rsidR="00CE2E0A" w:rsidRPr="002B5CCA">
        <w:t xml:space="preserve">, в Камчатском крае </w:t>
      </w:r>
      <w:r w:rsidR="000C601B">
        <w:t xml:space="preserve">составляет 1 360 рублей, </w:t>
      </w:r>
      <w:r w:rsidR="00CE2E0A" w:rsidRPr="002B5CCA">
        <w:t>за исключением Алеутского района</w:t>
      </w:r>
      <w:r w:rsidR="000C601B">
        <w:t>,</w:t>
      </w:r>
      <w:r w:rsidR="006A1C24">
        <w:t xml:space="preserve"> не менялся уже 9 лет. </w:t>
      </w:r>
    </w:p>
    <w:p w:rsidR="002B5CCA" w:rsidRPr="002B5CCA" w:rsidRDefault="000C601B" w:rsidP="008E0C85">
      <w:pPr>
        <w:pStyle w:val="a9"/>
        <w:numPr>
          <w:ilvl w:val="0"/>
          <w:numId w:val="4"/>
        </w:num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</w:t>
      </w:r>
      <w:r w:rsidR="002B5CCA" w:rsidRPr="002B5CCA">
        <w:rPr>
          <w:rFonts w:ascii="Times New Roman" w:eastAsia="Times New Roman" w:hAnsi="Times New Roman" w:cs="Times New Roman"/>
          <w:sz w:val="24"/>
          <w:szCs w:val="24"/>
        </w:rPr>
        <w:t xml:space="preserve"> последних лет платежеспособность пенсионеров Камчатки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снижается. </w:t>
      </w:r>
      <w:r w:rsidR="002B5CCA" w:rsidRPr="002B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B5CCA" w:rsidRPr="002B5CCA">
        <w:rPr>
          <w:rFonts w:ascii="Times New Roman" w:eastAsia="Times New Roman" w:hAnsi="Times New Roman" w:cs="Times New Roman"/>
          <w:sz w:val="24"/>
          <w:szCs w:val="24"/>
        </w:rPr>
        <w:t xml:space="preserve">редний размер страховой пенсии с 2015 года увеличился всего на 12,2% или 1683 рубля.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B5CCA" w:rsidRPr="002B5CCA">
        <w:rPr>
          <w:rFonts w:ascii="Times New Roman" w:eastAsia="Times New Roman" w:hAnsi="Times New Roman" w:cs="Times New Roman"/>
          <w:sz w:val="24"/>
          <w:szCs w:val="24"/>
        </w:rPr>
        <w:t>о итогам 2015 года инфляция составила 12,6%, за 2016 год еще 5,7% и за 1 полугодие 2017 года уровень инфляции</w:t>
      </w:r>
      <w:r w:rsidR="006A1C24">
        <w:rPr>
          <w:rFonts w:ascii="Times New Roman" w:eastAsia="Times New Roman" w:hAnsi="Times New Roman" w:cs="Times New Roman"/>
          <w:sz w:val="24"/>
          <w:szCs w:val="24"/>
        </w:rPr>
        <w:t xml:space="preserve"> уже</w:t>
      </w:r>
      <w:r w:rsidR="002B5CCA" w:rsidRPr="002B5CCA">
        <w:rPr>
          <w:rFonts w:ascii="Times New Roman" w:eastAsia="Times New Roman" w:hAnsi="Times New Roman" w:cs="Times New Roman"/>
          <w:sz w:val="24"/>
          <w:szCs w:val="24"/>
        </w:rPr>
        <w:t xml:space="preserve"> 4,6%. </w:t>
      </w:r>
      <w:r w:rsidR="002B5CCA">
        <w:rPr>
          <w:rFonts w:ascii="Times New Roman" w:eastAsia="Times New Roman" w:hAnsi="Times New Roman" w:cs="Times New Roman"/>
          <w:sz w:val="24"/>
          <w:szCs w:val="24"/>
        </w:rPr>
        <w:t xml:space="preserve">Проведенная в августе 2017 года индексация, в том числе работающим пенсионерам, </w:t>
      </w:r>
      <w:r w:rsidR="002B5CCA" w:rsidRPr="002B5CCA">
        <w:rPr>
          <w:rFonts w:ascii="Times New Roman" w:eastAsia="Times New Roman" w:hAnsi="Times New Roman" w:cs="Times New Roman"/>
          <w:sz w:val="24"/>
          <w:szCs w:val="24"/>
        </w:rPr>
        <w:t>не компенсирует ни рост цен, ни рост квартплаты, ни даже, моральные издержки работников. Отсутствие реальной индексации пенсий работающим пенсионерам -  это утрата стимулов для работающих пенсионеров работать легально, что повышает уровень теневой экономики и снижает количество, поступающих в бюджет, денежных средств.</w:t>
      </w:r>
    </w:p>
    <w:p w:rsidR="002B5CCA" w:rsidRPr="002B5CCA" w:rsidRDefault="002B5CCA" w:rsidP="00F750FC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E0A" w:rsidRPr="003A7B04" w:rsidRDefault="006A1C24" w:rsidP="00F750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04">
        <w:rPr>
          <w:rFonts w:ascii="Times New Roman" w:hAnsi="Times New Roman" w:cs="Times New Roman"/>
          <w:b/>
          <w:sz w:val="24"/>
          <w:szCs w:val="24"/>
        </w:rPr>
        <w:t>Федерация профсоюзов Камчатки отмечает снижение платежеспособности населени</w:t>
      </w:r>
      <w:r w:rsidR="000C601B" w:rsidRPr="003A7B04">
        <w:rPr>
          <w:rFonts w:ascii="Times New Roman" w:hAnsi="Times New Roman" w:cs="Times New Roman"/>
          <w:b/>
          <w:sz w:val="24"/>
          <w:szCs w:val="24"/>
        </w:rPr>
        <w:t>я</w:t>
      </w:r>
      <w:r w:rsidRPr="003A7B04">
        <w:rPr>
          <w:rFonts w:ascii="Times New Roman" w:hAnsi="Times New Roman" w:cs="Times New Roman"/>
          <w:b/>
          <w:sz w:val="24"/>
          <w:szCs w:val="24"/>
        </w:rPr>
        <w:t>, которое приобретает характер устойчивой тенденции.</w:t>
      </w:r>
    </w:p>
    <w:p w:rsidR="000A4730" w:rsidRDefault="000A4730" w:rsidP="00F750FC">
      <w:pPr>
        <w:pStyle w:val="headertext"/>
        <w:spacing w:before="0" w:beforeAutospacing="0" w:after="0" w:afterAutospacing="0"/>
        <w:ind w:firstLine="540"/>
        <w:jc w:val="both"/>
      </w:pPr>
    </w:p>
    <w:p w:rsidR="00827AB1" w:rsidRPr="00827AB1" w:rsidRDefault="00827AB1" w:rsidP="00F750FC">
      <w:pPr>
        <w:spacing w:after="0" w:line="240" w:lineRule="auto"/>
        <w:ind w:firstLine="540"/>
        <w:jc w:val="both"/>
        <w:rPr>
          <w:b/>
          <w:bCs/>
        </w:rPr>
      </w:pPr>
    </w:p>
    <w:sectPr w:rsidR="00827AB1" w:rsidRPr="00827AB1" w:rsidSect="008E0C85">
      <w:headerReference w:type="default" r:id="rId3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04" w:rsidRDefault="003A7B04" w:rsidP="008E0C85">
      <w:pPr>
        <w:spacing w:after="0" w:line="240" w:lineRule="auto"/>
      </w:pPr>
      <w:r>
        <w:separator/>
      </w:r>
    </w:p>
  </w:endnote>
  <w:endnote w:type="continuationSeparator" w:id="0">
    <w:p w:rsidR="003A7B04" w:rsidRDefault="003A7B04" w:rsidP="008E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04" w:rsidRDefault="003A7B04" w:rsidP="008E0C85">
      <w:pPr>
        <w:spacing w:after="0" w:line="240" w:lineRule="auto"/>
      </w:pPr>
      <w:r>
        <w:separator/>
      </w:r>
    </w:p>
  </w:footnote>
  <w:footnote w:type="continuationSeparator" w:id="0">
    <w:p w:rsidR="003A7B04" w:rsidRDefault="003A7B04" w:rsidP="008E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203030"/>
      <w:docPartObj>
        <w:docPartGallery w:val="Page Numbers (Top of Page)"/>
        <w:docPartUnique/>
      </w:docPartObj>
    </w:sdtPr>
    <w:sdtContent>
      <w:p w:rsidR="003A7B04" w:rsidRDefault="003A7B0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A7B04" w:rsidRDefault="003A7B0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A98"/>
    <w:multiLevelType w:val="hybridMultilevel"/>
    <w:tmpl w:val="696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DE8"/>
    <w:multiLevelType w:val="hybridMultilevel"/>
    <w:tmpl w:val="E3108798"/>
    <w:lvl w:ilvl="0" w:tplc="9E7A165A">
      <w:start w:val="1"/>
      <w:numFmt w:val="decimal"/>
      <w:lvlText w:val="%1."/>
      <w:lvlJc w:val="left"/>
      <w:pPr>
        <w:ind w:left="709" w:hanging="709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05B0"/>
    <w:multiLevelType w:val="hybridMultilevel"/>
    <w:tmpl w:val="09C07440"/>
    <w:lvl w:ilvl="0" w:tplc="31E43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0"/>
    <w:rsid w:val="00001874"/>
    <w:rsid w:val="00015CE1"/>
    <w:rsid w:val="00030260"/>
    <w:rsid w:val="0006550D"/>
    <w:rsid w:val="00077C5F"/>
    <w:rsid w:val="000A4730"/>
    <w:rsid w:val="000C39FD"/>
    <w:rsid w:val="000C601B"/>
    <w:rsid w:val="000D24D2"/>
    <w:rsid w:val="000F3836"/>
    <w:rsid w:val="000F48D4"/>
    <w:rsid w:val="0011127D"/>
    <w:rsid w:val="00154491"/>
    <w:rsid w:val="00154EA4"/>
    <w:rsid w:val="00175359"/>
    <w:rsid w:val="0017652E"/>
    <w:rsid w:val="0018115C"/>
    <w:rsid w:val="0019567E"/>
    <w:rsid w:val="001A50A9"/>
    <w:rsid w:val="001A63E1"/>
    <w:rsid w:val="001B603F"/>
    <w:rsid w:val="001F2C3E"/>
    <w:rsid w:val="00222220"/>
    <w:rsid w:val="002679BE"/>
    <w:rsid w:val="00273ED0"/>
    <w:rsid w:val="002809CB"/>
    <w:rsid w:val="0028759D"/>
    <w:rsid w:val="00294257"/>
    <w:rsid w:val="002B39D0"/>
    <w:rsid w:val="002B5CCA"/>
    <w:rsid w:val="002C2094"/>
    <w:rsid w:val="002F4039"/>
    <w:rsid w:val="00345015"/>
    <w:rsid w:val="00347078"/>
    <w:rsid w:val="00361E5F"/>
    <w:rsid w:val="00372301"/>
    <w:rsid w:val="00390C57"/>
    <w:rsid w:val="003A7B04"/>
    <w:rsid w:val="003D37F0"/>
    <w:rsid w:val="003F2A9D"/>
    <w:rsid w:val="003F4608"/>
    <w:rsid w:val="00412E88"/>
    <w:rsid w:val="00431821"/>
    <w:rsid w:val="00467853"/>
    <w:rsid w:val="004C478E"/>
    <w:rsid w:val="004C6510"/>
    <w:rsid w:val="004F292B"/>
    <w:rsid w:val="00522945"/>
    <w:rsid w:val="005B640A"/>
    <w:rsid w:val="005C3EB2"/>
    <w:rsid w:val="005C6B3F"/>
    <w:rsid w:val="00617DEE"/>
    <w:rsid w:val="00650A47"/>
    <w:rsid w:val="006539DC"/>
    <w:rsid w:val="00660B5C"/>
    <w:rsid w:val="006A1C24"/>
    <w:rsid w:val="006A2213"/>
    <w:rsid w:val="006C6C66"/>
    <w:rsid w:val="00722A5C"/>
    <w:rsid w:val="007D1931"/>
    <w:rsid w:val="007D3585"/>
    <w:rsid w:val="007E1407"/>
    <w:rsid w:val="007E5F45"/>
    <w:rsid w:val="00827AB1"/>
    <w:rsid w:val="00833535"/>
    <w:rsid w:val="00872269"/>
    <w:rsid w:val="008E0C85"/>
    <w:rsid w:val="008E0FFA"/>
    <w:rsid w:val="00906C28"/>
    <w:rsid w:val="009B090F"/>
    <w:rsid w:val="009C5823"/>
    <w:rsid w:val="00A17885"/>
    <w:rsid w:val="00A226D2"/>
    <w:rsid w:val="00A26AB7"/>
    <w:rsid w:val="00A32D1E"/>
    <w:rsid w:val="00A51B8B"/>
    <w:rsid w:val="00A56560"/>
    <w:rsid w:val="00A66BF3"/>
    <w:rsid w:val="00A76494"/>
    <w:rsid w:val="00AD4149"/>
    <w:rsid w:val="00B16967"/>
    <w:rsid w:val="00B64FB2"/>
    <w:rsid w:val="00B80C47"/>
    <w:rsid w:val="00BA13AC"/>
    <w:rsid w:val="00BB4461"/>
    <w:rsid w:val="00C65337"/>
    <w:rsid w:val="00C93A5A"/>
    <w:rsid w:val="00CE2E0A"/>
    <w:rsid w:val="00D02C06"/>
    <w:rsid w:val="00D36856"/>
    <w:rsid w:val="00D44781"/>
    <w:rsid w:val="00D45134"/>
    <w:rsid w:val="00D47A40"/>
    <w:rsid w:val="00D737AE"/>
    <w:rsid w:val="00D9225F"/>
    <w:rsid w:val="00DA67E5"/>
    <w:rsid w:val="00DB3852"/>
    <w:rsid w:val="00DB4EC7"/>
    <w:rsid w:val="00DC0C3E"/>
    <w:rsid w:val="00E06C0C"/>
    <w:rsid w:val="00E15740"/>
    <w:rsid w:val="00E566EA"/>
    <w:rsid w:val="00E9381F"/>
    <w:rsid w:val="00EC5335"/>
    <w:rsid w:val="00EE4976"/>
    <w:rsid w:val="00EF6B19"/>
    <w:rsid w:val="00F14215"/>
    <w:rsid w:val="00F24527"/>
    <w:rsid w:val="00F750FC"/>
    <w:rsid w:val="00FC16A2"/>
    <w:rsid w:val="00FD5A30"/>
    <w:rsid w:val="00FD6EC5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2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26AB7"/>
    <w:pPr>
      <w:spacing w:after="0" w:line="220" w:lineRule="auto"/>
      <w:ind w:left="1440" w:right="-25" w:firstLine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rsid w:val="00A26AB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2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3A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077C5F"/>
  </w:style>
  <w:style w:type="paragraph" w:styleId="aa">
    <w:name w:val="Title"/>
    <w:basedOn w:val="a"/>
    <w:link w:val="ab"/>
    <w:uiPriority w:val="10"/>
    <w:qFormat/>
    <w:rsid w:val="00A22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226D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c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431821"/>
    <w:rPr>
      <w:color w:val="0000FF"/>
      <w:u w:val="single"/>
    </w:rPr>
  </w:style>
  <w:style w:type="character" w:customStyle="1" w:styleId="b-ratesamountselected">
    <w:name w:val="b-rates__amount_selected"/>
    <w:basedOn w:val="a0"/>
    <w:rsid w:val="00431821"/>
  </w:style>
  <w:style w:type="paragraph" w:styleId="ae">
    <w:name w:val="Body Text"/>
    <w:basedOn w:val="a"/>
    <w:link w:val="af"/>
    <w:unhideWhenUsed/>
    <w:rsid w:val="00A565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5656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B39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39D0"/>
  </w:style>
  <w:style w:type="paragraph" w:styleId="af2">
    <w:name w:val="header"/>
    <w:basedOn w:val="a"/>
    <w:link w:val="af3"/>
    <w:uiPriority w:val="99"/>
    <w:unhideWhenUsed/>
    <w:rsid w:val="008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E0C85"/>
  </w:style>
  <w:style w:type="paragraph" w:styleId="af4">
    <w:name w:val="footer"/>
    <w:basedOn w:val="a"/>
    <w:link w:val="af5"/>
    <w:uiPriority w:val="99"/>
    <w:unhideWhenUsed/>
    <w:rsid w:val="008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2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26AB7"/>
    <w:pPr>
      <w:spacing w:after="0" w:line="220" w:lineRule="auto"/>
      <w:ind w:left="1440" w:right="-25" w:firstLine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Подзаголовок Знак"/>
    <w:basedOn w:val="a0"/>
    <w:link w:val="a3"/>
    <w:rsid w:val="00A26AB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8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2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2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13AC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077C5F"/>
  </w:style>
  <w:style w:type="paragraph" w:styleId="aa">
    <w:name w:val="Title"/>
    <w:basedOn w:val="a"/>
    <w:link w:val="ab"/>
    <w:uiPriority w:val="10"/>
    <w:qFormat/>
    <w:rsid w:val="00A22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226D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c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431821"/>
    <w:rPr>
      <w:color w:val="0000FF"/>
      <w:u w:val="single"/>
    </w:rPr>
  </w:style>
  <w:style w:type="character" w:customStyle="1" w:styleId="b-ratesamountselected">
    <w:name w:val="b-rates__amount_selected"/>
    <w:basedOn w:val="a0"/>
    <w:rsid w:val="00431821"/>
  </w:style>
  <w:style w:type="paragraph" w:styleId="ae">
    <w:name w:val="Body Text"/>
    <w:basedOn w:val="a"/>
    <w:link w:val="af"/>
    <w:unhideWhenUsed/>
    <w:rsid w:val="00A565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5656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B39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39D0"/>
  </w:style>
  <w:style w:type="paragraph" w:styleId="af2">
    <w:name w:val="header"/>
    <w:basedOn w:val="a"/>
    <w:link w:val="af3"/>
    <w:uiPriority w:val="99"/>
    <w:unhideWhenUsed/>
    <w:rsid w:val="008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E0C85"/>
  </w:style>
  <w:style w:type="paragraph" w:styleId="af4">
    <w:name w:val="footer"/>
    <w:basedOn w:val="a"/>
    <w:link w:val="af5"/>
    <w:uiPriority w:val="99"/>
    <w:unhideWhenUsed/>
    <w:rsid w:val="008E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testats.com/dollar/2017/02/" TargetMode="External"/><Relationship Id="rId18" Type="http://schemas.openxmlformats.org/officeDocument/2006/relationships/hyperlink" Target="https://ratestats.com/dollar/2017/07/" TargetMode="Externa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hyperlink" Target="https://ratestats.com/dollar/2017/01/" TargetMode="External"/><Relationship Id="rId17" Type="http://schemas.openxmlformats.org/officeDocument/2006/relationships/hyperlink" Target="https://ratestats.com/dollar/2017/06/" TargetMode="External"/><Relationship Id="rId25" Type="http://schemas.openxmlformats.org/officeDocument/2006/relationships/chart" Target="charts/chart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atestats.com/dollar/2017/05/" TargetMode="External"/><Relationship Id="rId20" Type="http://schemas.openxmlformats.org/officeDocument/2006/relationships/image" Target="media/image3.png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atestats.com/dollar/2017/04/" TargetMode="Externa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10" Type="http://schemas.openxmlformats.org/officeDocument/2006/relationships/chart" Target="charts/chart2.xml"/><Relationship Id="rId19" Type="http://schemas.openxmlformats.org/officeDocument/2006/relationships/hyperlink" Target="https://ratestats.com/dollar/2017/08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ratestats.com/dollar/2017/03/" TargetMode="External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91372817528244E-2"/>
          <c:y val="6.3533732103229587E-2"/>
          <c:w val="0.96458211838962404"/>
          <c:h val="0.59628535703423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0048912294441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584671989336566E-3"/>
                  <c:y val="7.5122280736104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493547518293858E-2"/>
                  <c:y val="7.5122280736104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116934397867514E-3"/>
                  <c:y val="-1.8780865941036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116791744840526E-2"/>
                  <c:y val="1.1268342110415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6427992077016671E-17"/>
                  <c:y val="1.1268342110415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0584671989336566E-3"/>
                  <c:y val="3.75611403680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0584671989336566E-3"/>
                  <c:y val="-3.0048912294441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7175401596800992E-2"/>
                  <c:y val="-7.2463425209263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6233868795735049E-3"/>
                  <c:y val="-3.004891229444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8987095036587647E-2"/>
                  <c:y val="-3.75611403680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январь             (IV квартал 2016г.)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          (I квартал 2017г.)</c:v>
                </c:pt>
                <c:pt idx="4">
                  <c:v>май</c:v>
                </c:pt>
                <c:pt idx="5">
                  <c:v>июнь</c:v>
                </c:pt>
                <c:pt idx="6">
                  <c:v>июль            (II квартал 2017г.)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29691.47</c:v>
                </c:pt>
                <c:pt idx="1">
                  <c:v>30009.23</c:v>
                </c:pt>
                <c:pt idx="2">
                  <c:v>30235.45</c:v>
                </c:pt>
                <c:pt idx="3" formatCode="#,##0.00">
                  <c:v>30314.68</c:v>
                </c:pt>
                <c:pt idx="4">
                  <c:v>30335.25</c:v>
                </c:pt>
                <c:pt idx="5">
                  <c:v>30404.61</c:v>
                </c:pt>
                <c:pt idx="6">
                  <c:v>30432.67</c:v>
                </c:pt>
                <c:pt idx="7">
                  <c:v>30476.22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746176"/>
        <c:axId val="101747712"/>
        <c:axId val="0"/>
      </c:bar3DChart>
      <c:catAx>
        <c:axId val="101746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01747712"/>
        <c:crosses val="autoZero"/>
        <c:auto val="1"/>
        <c:lblAlgn val="ctr"/>
        <c:lblOffset val="100"/>
        <c:noMultiLvlLbl val="0"/>
      </c:catAx>
      <c:valAx>
        <c:axId val="1017477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1746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57BD5"/>
            </a:soli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  <c:pt idx="4">
                  <c:v>декабрь</c:v>
                </c:pt>
                <c:pt idx="5">
                  <c:v>январь</c:v>
                </c:pt>
                <c:pt idx="6">
                  <c:v>февраль</c:v>
                </c:pt>
                <c:pt idx="7">
                  <c:v>март</c:v>
                </c:pt>
                <c:pt idx="8">
                  <c:v>апрель</c:v>
                </c:pt>
                <c:pt idx="9">
                  <c:v>май</c:v>
                </c:pt>
                <c:pt idx="10">
                  <c:v>июнь</c:v>
                </c:pt>
                <c:pt idx="11">
                  <c:v>июль</c:v>
                </c:pt>
                <c:pt idx="12">
                  <c:v>август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2535</c:v>
                </c:pt>
                <c:pt idx="1">
                  <c:v>2387</c:v>
                </c:pt>
                <c:pt idx="2">
                  <c:v>2379</c:v>
                </c:pt>
                <c:pt idx="3">
                  <c:v>2578</c:v>
                </c:pt>
                <c:pt idx="4">
                  <c:v>2866</c:v>
                </c:pt>
                <c:pt idx="5">
                  <c:v>3046</c:v>
                </c:pt>
                <c:pt idx="6">
                  <c:v>3147</c:v>
                </c:pt>
                <c:pt idx="7">
                  <c:v>3382</c:v>
                </c:pt>
                <c:pt idx="8">
                  <c:v>3238</c:v>
                </c:pt>
                <c:pt idx="9">
                  <c:v>3041</c:v>
                </c:pt>
                <c:pt idx="10">
                  <c:v>2733</c:v>
                </c:pt>
                <c:pt idx="11">
                  <c:v>2559</c:v>
                </c:pt>
                <c:pt idx="12">
                  <c:v>2426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505920"/>
        <c:axId val="105507456"/>
        <c:axId val="0"/>
      </c:bar3DChart>
      <c:catAx>
        <c:axId val="10550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>
                <a:solidFill>
                  <a:srgbClr val="002060"/>
                </a:solidFill>
              </a:defRPr>
            </a:pPr>
            <a:endParaRPr lang="ru-RU"/>
          </a:p>
        </c:txPr>
        <c:crossAx val="105507456"/>
        <c:crosses val="autoZero"/>
        <c:auto val="1"/>
        <c:lblAlgn val="ctr"/>
        <c:lblOffset val="100"/>
        <c:noMultiLvlLbl val="0"/>
      </c:catAx>
      <c:valAx>
        <c:axId val="10550745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5505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spPr>
            <a:ln w="63500">
              <a:solidFill>
                <a:srgbClr val="0070C0">
                  <a:alpha val="54000"/>
                </a:srgb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6572388715876001E-2"/>
                  <c:y val="4.5713965756521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585550300581057E-2"/>
                  <c:y val="-5.0793295285023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1152</c:v>
                </c:pt>
                <c:pt idx="1">
                  <c:v>1250</c:v>
                </c:pt>
                <c:pt idx="2">
                  <c:v>1360</c:v>
                </c:pt>
                <c:pt idx="3">
                  <c:v>1360</c:v>
                </c:pt>
                <c:pt idx="4">
                  <c:v>1360</c:v>
                </c:pt>
                <c:pt idx="5">
                  <c:v>1360</c:v>
                </c:pt>
                <c:pt idx="6">
                  <c:v>1360</c:v>
                </c:pt>
                <c:pt idx="7">
                  <c:v>1360</c:v>
                </c:pt>
                <c:pt idx="8">
                  <c:v>1360</c:v>
                </c:pt>
                <c:pt idx="9">
                  <c:v>1360</c:v>
                </c:pt>
                <c:pt idx="10">
                  <c:v>1360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Максимум</c:v>
                </c:pt>
              </c:strCache>
            </c:strRef>
          </c:tx>
          <c:spPr>
            <a:ln w="63500">
              <a:solidFill>
                <a:srgbClr val="FF0000">
                  <a:alpha val="67000"/>
                </a:srgb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9585550300581057E-2"/>
                  <c:y val="7.61899429275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585550300581057E-2"/>
                  <c:y val="-5.0793295285024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0394847541141563E-2"/>
                  <c:y val="5.07932952850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2862062207788578E-2"/>
                  <c:y val="5.07932952850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6835620409970329E-2"/>
                  <c:y val="5.07932952850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1769812486446703E-2"/>
                  <c:y val="5.07932952850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8210585355275483E-2"/>
                  <c:y val="1.0158659057004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171100601161496E-2"/>
                  <c:y val="5.07932952850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4105292677637752E-2"/>
                  <c:y val="5.07932952850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4608</c:v>
                </c:pt>
                <c:pt idx="1">
                  <c:v>4999</c:v>
                </c:pt>
                <c:pt idx="2">
                  <c:v>7840</c:v>
                </c:pt>
                <c:pt idx="3">
                  <c:v>7840</c:v>
                </c:pt>
                <c:pt idx="4">
                  <c:v>7840</c:v>
                </c:pt>
                <c:pt idx="5">
                  <c:v>7840</c:v>
                </c:pt>
                <c:pt idx="6">
                  <c:v>7840</c:v>
                </c:pt>
                <c:pt idx="7">
                  <c:v>7840</c:v>
                </c:pt>
                <c:pt idx="8">
                  <c:v>7840</c:v>
                </c:pt>
                <c:pt idx="9">
                  <c:v>7840</c:v>
                </c:pt>
                <c:pt idx="10">
                  <c:v>7840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23136"/>
        <c:axId val="97724672"/>
      </c:lineChart>
      <c:catAx>
        <c:axId val="9772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endParaRPr lang="ru-RU"/>
          </a:p>
        </c:txPr>
        <c:crossAx val="97724672"/>
        <c:crosses val="autoZero"/>
        <c:auto val="1"/>
        <c:lblAlgn val="ctr"/>
        <c:lblOffset val="100"/>
        <c:noMultiLvlLbl val="0"/>
      </c:catAx>
      <c:valAx>
        <c:axId val="977246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772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55491427673921"/>
          <c:y val="0.35902220906840965"/>
          <c:w val="0.16840560096914664"/>
          <c:h val="0.29719357044870076"/>
        </c:manualLayout>
      </c:layout>
      <c:overlay val="0"/>
      <c:txPr>
        <a:bodyPr/>
        <a:lstStyle/>
        <a:p>
          <a:pPr>
            <a:defRPr sz="11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прожиточный минимум пенсионеров, руб</c:v>
                </c:pt>
              </c:strCache>
            </c:strRef>
          </c:tx>
          <c:spPr>
            <a:solidFill>
              <a:srgbClr val="0070C0">
                <a:alpha val="84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18894.419999999998</c:v>
                </c:pt>
                <c:pt idx="1">
                  <c:v>19595.73</c:v>
                </c:pt>
                <c:pt idx="2">
                  <c:v>20126.62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страховой пенсии (данные ПФ РФ), руб</c:v>
                </c:pt>
              </c:strCache>
            </c:strRef>
          </c:tx>
          <c:spPr>
            <a:solidFill>
              <a:schemeClr val="accent6">
                <a:lumMod val="75000"/>
                <a:alpha val="74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13841</c:v>
                </c:pt>
                <c:pt idx="1">
                  <c:v>15000</c:v>
                </c:pt>
                <c:pt idx="2">
                  <c:v>15524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762688"/>
        <c:axId val="105124992"/>
        <c:axId val="0"/>
      </c:bar3DChart>
      <c:catAx>
        <c:axId val="97762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5124992"/>
        <c:crosses val="autoZero"/>
        <c:auto val="1"/>
        <c:lblAlgn val="ctr"/>
        <c:lblOffset val="100"/>
        <c:noMultiLvlLbl val="0"/>
      </c:catAx>
      <c:valAx>
        <c:axId val="10512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626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6414474770294289E-2"/>
          <c:y val="3.4375000000000003E-2"/>
          <c:w val="0.74761998928182971"/>
          <c:h val="0.703916830708661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Прожиточный минимум трудоспособного человека Правительства Камчатского края (руб.)</c:v>
                </c:pt>
              </c:strCache>
            </c:strRef>
          </c:tx>
          <c:spPr>
            <a:ln w="28575">
              <a:solidFill>
                <a:srgbClr val="00B0F0"/>
              </a:solidFill>
            </a:ln>
          </c:spPr>
          <c:marker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 w="76200">
                <a:solidFill>
                  <a:srgbClr val="00B0F0"/>
                </a:solidFill>
              </a:ln>
            </c:spPr>
          </c:marker>
          <c:dLbls>
            <c:dLbl>
              <c:idx val="0"/>
              <c:layout>
                <c:manualLayout>
                  <c:x val="-6.7150124060294816E-2"/>
                  <c:y val="7.4999999999999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688999164706505E-2"/>
                  <c:y val="-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954438387509256E-2"/>
                  <c:y val="-7.046927868956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165674102059492E-2"/>
                  <c:y val="-7.499999999999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720099248235911E-2"/>
                  <c:y val="8.7499999999999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673449122941885E-2"/>
                  <c:y val="-8.4374999999999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751199331765207E-2"/>
                  <c:y val="7.1874999999999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670454920647118E-2"/>
                  <c:y val="-6.562500000000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IV квартал 2016 года</c:v>
                </c:pt>
                <c:pt idx="1">
                  <c:v>I квартал 2017 года</c:v>
                </c:pt>
                <c:pt idx="2">
                  <c:v>II квартал 2017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20292</c:v>
                </c:pt>
                <c:pt idx="1">
                  <c:v>20394</c:v>
                </c:pt>
                <c:pt idx="2">
                  <c:v>20399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Прожиточный минимум Федерации профсоюзов Камчатки (руб.)</c:v>
                </c:pt>
              </c:strCache>
            </c:strRef>
          </c:tx>
          <c:spPr>
            <a:ln w="28575"/>
          </c:spPr>
          <c:marker>
            <c:spPr>
              <a:solidFill>
                <a:srgbClr val="FF5050"/>
              </a:solidFill>
              <a:ln w="76200"/>
            </c:spPr>
          </c:marker>
          <c:dLbls>
            <c:dLbl>
              <c:idx val="0"/>
              <c:layout>
                <c:manualLayout>
                  <c:x val="-6.7150124060294816E-2"/>
                  <c:y val="6.562500000000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580148872353777E-2"/>
                  <c:y val="-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821892455750727E-2"/>
                  <c:y val="-6.2889036460803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610347393500079E-2"/>
                  <c:y val="-5.937499999999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720099248235911E-2"/>
                  <c:y val="7.499999999999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2673449122941885E-2"/>
                  <c:y val="-9.062499999999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4165674102059492E-2"/>
                  <c:y val="8.4375000000000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751199331765207E-2"/>
                  <c:y val="-8.437500000000000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 smtClean="0">
                        <a:solidFill>
                          <a:srgbClr val="002060"/>
                        </a:solidFill>
                      </a:rPr>
                      <a:t>30404</a:t>
                    </a:r>
                    <a:r>
                      <a:rPr lang="ru-RU" sz="1200" b="0" dirty="0" smtClean="0">
                        <a:solidFill>
                          <a:srgbClr val="002060"/>
                        </a:solidFill>
                      </a:rPr>
                      <a:t>,61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IV квартал 2016 года</c:v>
                </c:pt>
                <c:pt idx="1">
                  <c:v>I квартал 2017 года</c:v>
                </c:pt>
                <c:pt idx="2">
                  <c:v>II квартал 2017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29691.47</c:v>
                </c:pt>
                <c:pt idx="1">
                  <c:v>30404</c:v>
                </c:pt>
                <c:pt idx="2">
                  <c:v>30500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596416"/>
        <c:axId val="103597952"/>
      </c:lineChart>
      <c:catAx>
        <c:axId val="10359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rgbClr val="002060"/>
                </a:solidFill>
              </a:defRPr>
            </a:pPr>
            <a:endParaRPr lang="ru-RU"/>
          </a:p>
        </c:txPr>
        <c:crossAx val="103597952"/>
        <c:crosses val="autoZero"/>
        <c:auto val="1"/>
        <c:lblAlgn val="ctr"/>
        <c:lblOffset val="100"/>
        <c:noMultiLvlLbl val="0"/>
      </c:catAx>
      <c:valAx>
        <c:axId val="1035979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359641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79686341359271251"/>
          <c:y val="3.644192913385829E-2"/>
          <c:w val="0.19418323653258143"/>
          <c:h val="0.90211614173228338"/>
        </c:manualLayout>
      </c:layout>
      <c:overlay val="0"/>
      <c:txPr>
        <a:bodyPr/>
        <a:lstStyle/>
        <a:p>
          <a:pPr>
            <a:defRPr sz="105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ln>
      <a:solidFill>
        <a:schemeClr val="tx1"/>
      </a:solidFill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364233357094563E-3"/>
          <c:y val="0.10292351409613951"/>
          <c:w val="0.96202831323353366"/>
          <c:h val="0.53206534632165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работадателей, выплачивающих заработную плату ниже прожиточного минимума трудоспособного человека.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за 2015 год </c:v>
                </c:pt>
                <c:pt idx="1">
                  <c:v>За 1 квартал 2016 года</c:v>
                </c:pt>
                <c:pt idx="2">
                  <c:v>За 1 полугодие 2016 года</c:v>
                </c:pt>
                <c:pt idx="3">
                  <c:v>За 3 квартал 2016 года</c:v>
                </c:pt>
                <c:pt idx="4">
                  <c:v>За 4 квартал 2016 года</c:v>
                </c:pt>
                <c:pt idx="5">
                  <c:v>За 1 квартал 2017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1358</c:v>
                </c:pt>
                <c:pt idx="1">
                  <c:v>1215</c:v>
                </c:pt>
                <c:pt idx="2">
                  <c:v>1139</c:v>
                </c:pt>
                <c:pt idx="3">
                  <c:v>1823</c:v>
                </c:pt>
                <c:pt idx="4">
                  <c:v>1842</c:v>
                </c:pt>
                <c:pt idx="5">
                  <c:v>2106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571840"/>
        <c:axId val="103573376"/>
      </c:barChart>
      <c:catAx>
        <c:axId val="10357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3573376"/>
        <c:crosses val="autoZero"/>
        <c:auto val="1"/>
        <c:lblAlgn val="ctr"/>
        <c:lblOffset val="100"/>
        <c:noMultiLvlLbl val="0"/>
      </c:catAx>
      <c:valAx>
        <c:axId val="1035733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35718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ru-RU" sz="1800" kern="1200" dirty="0" smtClean="0">
          <a:solidFill>
            <a:srgbClr val="00206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98794303635584E-2"/>
          <c:y val="7.2249589490968796E-2"/>
          <c:w val="0.94602305146639276"/>
          <c:h val="0.659557555305586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средней заработной платы</c:v>
                </c:pt>
              </c:strCache>
            </c:strRef>
          </c:tx>
          <c:spPr>
            <a:ln w="6985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8.5925324523829755E-2"/>
                  <c:y val="-2.339185595037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1480911186390059E-2"/>
                  <c:y val="5.1462083090819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7797079753037013E-2"/>
                  <c:y val="-4.2105340710670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2221786724152385E-2"/>
                  <c:y val="-4.678371190074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481191149434903E-2"/>
                  <c:y val="-7.0175567851117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3332960049273528E-2"/>
                  <c:y val="3.7426969520595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6295902274233096E-2"/>
                  <c:y val="-6.0818825470968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9258844499192775E-2"/>
                  <c:y val="4.678371190074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3809029517636043E-2"/>
                  <c:y val="-5.1462083090819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5952294297153928E-3"/>
                  <c:y val="-0.116959279751862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4035617345484355"/>
                  <c:y val="-9.8246163367248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6378596305470615E-2"/>
                  <c:y val="-9.8245794991564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4054120092566852E-3"/>
                  <c:y val="7.0175567851117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42522</c:v>
                </c:pt>
                <c:pt idx="1">
                  <c:v>42552</c:v>
                </c:pt>
                <c:pt idx="2">
                  <c:v>42583</c:v>
                </c:pt>
                <c:pt idx="3">
                  <c:v>42614</c:v>
                </c:pt>
                <c:pt idx="4">
                  <c:v>42644</c:v>
                </c:pt>
                <c:pt idx="5">
                  <c:v>42675</c:v>
                </c:pt>
                <c:pt idx="6">
                  <c:v>42705</c:v>
                </c:pt>
                <c:pt idx="7">
                  <c:v>42736</c:v>
                </c:pt>
                <c:pt idx="8">
                  <c:v>42767</c:v>
                </c:pt>
                <c:pt idx="9">
                  <c:v>42795</c:v>
                </c:pt>
                <c:pt idx="10">
                  <c:v>42826</c:v>
                </c:pt>
                <c:pt idx="11">
                  <c:v>42856</c:v>
                </c:pt>
                <c:pt idx="12">
                  <c:v>42887</c:v>
                </c:pt>
              </c:numCache>
            </c:num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61531</c:v>
                </c:pt>
                <c:pt idx="1">
                  <c:v>62826.3</c:v>
                </c:pt>
                <c:pt idx="2">
                  <c:v>56691</c:v>
                </c:pt>
                <c:pt idx="3">
                  <c:v>58716</c:v>
                </c:pt>
                <c:pt idx="4">
                  <c:v>62220.7</c:v>
                </c:pt>
                <c:pt idx="5">
                  <c:v>60539.7</c:v>
                </c:pt>
                <c:pt idx="6">
                  <c:v>76436.7</c:v>
                </c:pt>
                <c:pt idx="7">
                  <c:v>56945.3</c:v>
                </c:pt>
                <c:pt idx="8">
                  <c:v>55829.7</c:v>
                </c:pt>
                <c:pt idx="9">
                  <c:v>58788.800000000003</c:v>
                </c:pt>
                <c:pt idx="10">
                  <c:v>66878.399999999994</c:v>
                </c:pt>
                <c:pt idx="11">
                  <c:v>77043.3</c:v>
                </c:pt>
                <c:pt idx="12">
                  <c:v>71033.899999999994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732736"/>
        <c:axId val="103734272"/>
      </c:lineChart>
      <c:dateAx>
        <c:axId val="1037327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734272"/>
        <c:crosses val="autoZero"/>
        <c:auto val="1"/>
        <c:lblOffset val="100"/>
        <c:baseTimeUnit val="months"/>
      </c:dateAx>
      <c:valAx>
        <c:axId val="103734272"/>
        <c:scaling>
          <c:orientation val="minMax"/>
        </c:scaling>
        <c:delete val="1"/>
        <c:axPos val="l"/>
        <c:majorGridlines/>
        <c:numFmt formatCode="0.00" sourceLinked="1"/>
        <c:majorTickMark val="out"/>
        <c:minorTickMark val="none"/>
        <c:tickLblPos val="nextTo"/>
        <c:crossAx val="103732736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июля 2012г.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8348139174910826E-3"/>
                  <c:y val="3.400639697365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сентября 2012г.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245575072346726E-3"/>
                  <c:y val="5.0575196319083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марта 2013г.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144626152500167E-3"/>
                  <c:y val="3.7920664775202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января 2014г.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144626152500167E-3"/>
                  <c:y val="2.8982753674009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13200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1июля 2014г.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271216097987751E-3"/>
                  <c:y val="2.2529673669333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14440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 января 2015г.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487895716946941E-3"/>
                  <c:y val="3.0401737242128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15550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 июля 2015г.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317194289261328E-3"/>
                  <c:y val="1.3029315960912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15800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 января 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100" b="0" i="0" u="none" strike="noStrike" kern="1200" baseline="0">
                    <a:solidFill>
                      <a:prstClr val="black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16435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 июля 2016г.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83760683760684E-2"/>
                  <c:y val="-1.0796221322537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100" b="0" i="0" u="none" strike="noStrike" kern="1200" baseline="0">
                    <a:solidFill>
                      <a:prstClr val="black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16910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 января 2017г.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945756780402451E-2"/>
                  <c:y val="-1.1171538780324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Размер минимальной заработной платы в Камчатком крае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16910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3881344"/>
        <c:axId val="103899520"/>
        <c:axId val="0"/>
      </c:bar3DChart>
      <c:catAx>
        <c:axId val="10388134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3899520"/>
        <c:crosses val="autoZero"/>
        <c:auto val="1"/>
        <c:lblAlgn val="ctr"/>
        <c:lblOffset val="100"/>
        <c:noMultiLvlLbl val="0"/>
      </c:catAx>
      <c:valAx>
        <c:axId val="10389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3881344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7383117975637661"/>
          <c:y val="3.4776159052992868E-2"/>
          <c:w val="0.21334830742311056"/>
          <c:h val="0.88067576458603047"/>
        </c:manualLayout>
      </c:layout>
      <c:overlay val="0"/>
      <c:txPr>
        <a:bodyPr/>
        <a:lstStyle/>
        <a:p>
          <a:pPr>
            <a:defRPr sz="11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населения</c:v>
                </c:pt>
              </c:strCache>
            </c:strRef>
          </c:tx>
          <c:explosion val="25"/>
          <c:dPt>
            <c:idx val="1"/>
            <c:bubble3D val="0"/>
            <c:spPr>
              <a:pattFill prst="sphere">
                <a:fgClr>
                  <a:schemeClr val="accent1"/>
                </a:fgClr>
                <a:bgClr>
                  <a:schemeClr val="bg1"/>
                </a:bgClr>
              </a:pattFill>
              <a:ln w="254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kHorz">
                <a:fgClr>
                  <a:schemeClr val="accent1"/>
                </a:fgClr>
                <a:bgClr>
                  <a:schemeClr val="bg1"/>
                </a:bgClr>
              </a:pattFill>
              <a:ln w="3175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pct40">
                <a:fgClr>
                  <a:schemeClr val="accent1"/>
                </a:fgClr>
                <a:bgClr>
                  <a:schemeClr val="bg1"/>
                </a:bgClr>
              </a:pattFill>
              <a:ln w="381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plaid">
                <a:fgClr>
                  <a:schemeClr val="accent1"/>
                </a:fgClr>
                <a:bgClr>
                  <a:schemeClr val="bg1"/>
                </a:bgClr>
              </a:pattFill>
              <a:ln w="38100"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  <a:ln w="34925"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pct40">
                <a:fgClr>
                  <a:schemeClr val="accent1"/>
                </a:fgClr>
                <a:bgClr>
                  <a:schemeClr val="bg1"/>
                </a:bgClr>
              </a:pattFill>
              <a:ln w="38100"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dashDnDiag">
                <a:fgClr>
                  <a:schemeClr val="accent1"/>
                </a:fgClr>
                <a:bgClr>
                  <a:schemeClr val="bg1"/>
                </a:bgClr>
              </a:pattFill>
              <a:ln w="38100"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до 5000,0</c:v>
                </c:pt>
                <c:pt idx="1">
                  <c:v>от 5000,1 до 7000,0</c:v>
                </c:pt>
                <c:pt idx="2">
                  <c:v>от 7000,1 до 10000,0</c:v>
                </c:pt>
                <c:pt idx="3">
                  <c:v>от 10000,1 до 14000,0</c:v>
                </c:pt>
                <c:pt idx="4">
                  <c:v>от 14000,1 до 19000,0</c:v>
                </c:pt>
                <c:pt idx="5">
                  <c:v>от 19000,1 до 27000,0</c:v>
                </c:pt>
                <c:pt idx="6">
                  <c:v>от 27000,1 до 45000,0</c:v>
                </c:pt>
                <c:pt idx="7">
                  <c:v>свыше 45000,0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0.1</c:v>
                </c:pt>
                <c:pt idx="1">
                  <c:v>0.6</c:v>
                </c:pt>
                <c:pt idx="2">
                  <c:v>2.2000000000000002</c:v>
                </c:pt>
                <c:pt idx="3">
                  <c:v>5.8</c:v>
                </c:pt>
                <c:pt idx="4">
                  <c:v>10.4</c:v>
                </c:pt>
                <c:pt idx="5">
                  <c:v>18.5</c:v>
                </c:pt>
                <c:pt idx="6">
                  <c:v>31.4</c:v>
                </c:pt>
                <c:pt idx="7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636516589272491E-2"/>
          <c:y val="0.10084004046601081"/>
          <c:w val="0.97483159874924774"/>
          <c:h val="0.643698599352456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За 1 квартал 2015 года</c:v>
                </c:pt>
                <c:pt idx="1">
                  <c:v>За 1 полугодие 2015 года</c:v>
                </c:pt>
                <c:pt idx="2">
                  <c:v>за 9 месяцев 2015года</c:v>
                </c:pt>
                <c:pt idx="3">
                  <c:v>за 2015 год </c:v>
                </c:pt>
                <c:pt idx="4">
                  <c:v>За 1 квартал 2016 года</c:v>
                </c:pt>
                <c:pt idx="5">
                  <c:v>За 1 полугодие 2016 года</c:v>
                </c:pt>
                <c:pt idx="6">
                  <c:v>За 3 квартал 2016 года</c:v>
                </c:pt>
                <c:pt idx="7">
                  <c:v>За 4 квартал 2016 года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957</c:v>
                </c:pt>
                <c:pt idx="1">
                  <c:v>1046</c:v>
                </c:pt>
                <c:pt idx="2">
                  <c:v>1097</c:v>
                </c:pt>
                <c:pt idx="3">
                  <c:v>747</c:v>
                </c:pt>
                <c:pt idx="4">
                  <c:v>688</c:v>
                </c:pt>
                <c:pt idx="5">
                  <c:v>704</c:v>
                </c:pt>
                <c:pt idx="6">
                  <c:v>1131</c:v>
                </c:pt>
                <c:pt idx="7">
                  <c:v>1065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51808"/>
        <c:axId val="105357696"/>
      </c:barChart>
      <c:catAx>
        <c:axId val="105351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5357696"/>
        <c:crosses val="autoZero"/>
        <c:auto val="1"/>
        <c:lblAlgn val="ctr"/>
        <c:lblOffset val="100"/>
        <c:noMultiLvlLbl val="0"/>
      </c:catAx>
      <c:valAx>
        <c:axId val="1053576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53518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7087544462996817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path path="circle">
                <a:fillToRect l="100000" t="100000"/>
              </a:path>
              <a:tileRect r="-100000" b="-100000"/>
            </a:gradFill>
          </c:spPr>
          <c:invertIfNegative val="0"/>
          <c:dLbls>
            <c:dLbl>
              <c:idx val="0"/>
              <c:layout>
                <c:manualLayout>
                  <c:x val="-1.330300590798205E-2"/>
                  <c:y val="-0.14933295706131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2561850407174824E-3"/>
                  <c:y val="-0.25202554170292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561850407174824E-3"/>
                  <c:y val="-0.21096261804694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2561850407174824E-3"/>
                  <c:y val="-0.20148097381288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41853789585489E-3"/>
                  <c:y val="-0.142221863867919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093641734529093E-2"/>
                  <c:y val="9.48145759119463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8374566938116552E-3"/>
                  <c:y val="-4.740728795597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9.2444211514147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2093641734529138E-3"/>
                  <c:y val="-0.130370041878926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837361468286186E-3"/>
                  <c:y val="-0.13511077067452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0884277561076223E-2"/>
                  <c:y val="-0.13985149947012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9349826775246621E-2"/>
                  <c:y val="-0.1754069654371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0884277561076223E-2"/>
                  <c:y val="-9.7184940309745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август 2016г.</c:v>
                </c:pt>
                <c:pt idx="1">
                  <c:v>сентябрь 2016г.</c:v>
                </c:pt>
                <c:pt idx="2">
                  <c:v>октябрь 2016г.</c:v>
                </c:pt>
                <c:pt idx="3">
                  <c:v>ноябрь2016г.</c:v>
                </c:pt>
                <c:pt idx="4">
                  <c:v>декабрь 2016г.</c:v>
                </c:pt>
                <c:pt idx="5">
                  <c:v>январь 2017г.</c:v>
                </c:pt>
                <c:pt idx="6">
                  <c:v>февраль 2017г.</c:v>
                </c:pt>
                <c:pt idx="7">
                  <c:v>март 2017г.</c:v>
                </c:pt>
                <c:pt idx="8">
                  <c:v>апрель 2017г.</c:v>
                </c:pt>
                <c:pt idx="9">
                  <c:v>май 2017г.</c:v>
                </c:pt>
                <c:pt idx="10">
                  <c:v>июнь 2017г.</c:v>
                </c:pt>
                <c:pt idx="11">
                  <c:v>июль 2017г.</c:v>
                </c:pt>
                <c:pt idx="12">
                  <c:v>август 2017г.</c:v>
                </c:pt>
              </c:strCache>
            </c:strRef>
          </c:cat>
          <c:val>
            <c:numRef>
              <c:f>Лист1!$B$2:$B$14</c:f>
              <c:numCache>
                <c:formatCode>#,##0</c:formatCode>
                <c:ptCount val="13"/>
                <c:pt idx="0" formatCode="General">
                  <c:v>37844</c:v>
                </c:pt>
                <c:pt idx="1">
                  <c:v>69982</c:v>
                </c:pt>
                <c:pt idx="2" formatCode="General">
                  <c:v>65884</c:v>
                </c:pt>
                <c:pt idx="3" formatCode="General">
                  <c:v>56798</c:v>
                </c:pt>
                <c:pt idx="4" formatCode="General">
                  <c:v>36290</c:v>
                </c:pt>
                <c:pt idx="5" formatCode="General">
                  <c:v>25980</c:v>
                </c:pt>
                <c:pt idx="6" formatCode="General">
                  <c:v>28002</c:v>
                </c:pt>
                <c:pt idx="7" formatCode="General">
                  <c:v>29854</c:v>
                </c:pt>
                <c:pt idx="8" formatCode="General">
                  <c:v>30577</c:v>
                </c:pt>
                <c:pt idx="9" formatCode="General">
                  <c:v>32463</c:v>
                </c:pt>
                <c:pt idx="10">
                  <c:v>33997</c:v>
                </c:pt>
                <c:pt idx="11">
                  <c:v>35121</c:v>
                </c:pt>
                <c:pt idx="12" formatCode="General">
                  <c:v>27713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390080"/>
        <c:axId val="105391616"/>
        <c:axId val="0"/>
      </c:bar3DChart>
      <c:catAx>
        <c:axId val="10539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endParaRPr lang="ru-RU"/>
          </a:p>
        </c:txPr>
        <c:crossAx val="105391616"/>
        <c:crosses val="autoZero"/>
        <c:auto val="1"/>
        <c:lblAlgn val="ctr"/>
        <c:lblOffset val="100"/>
        <c:noMultiLvlLbl val="0"/>
      </c:catAx>
      <c:valAx>
        <c:axId val="1053916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5390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 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  <c:pt idx="11">
                  <c:v>август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665</c:v>
                </c:pt>
                <c:pt idx="1">
                  <c:v>542</c:v>
                </c:pt>
                <c:pt idx="2">
                  <c:v>541</c:v>
                </c:pt>
                <c:pt idx="3">
                  <c:v>299</c:v>
                </c:pt>
                <c:pt idx="4">
                  <c:v>192</c:v>
                </c:pt>
                <c:pt idx="5">
                  <c:v>302</c:v>
                </c:pt>
                <c:pt idx="6">
                  <c:v>258</c:v>
                </c:pt>
                <c:pt idx="7">
                  <c:v>240</c:v>
                </c:pt>
                <c:pt idx="8">
                  <c:v>240</c:v>
                </c:pt>
                <c:pt idx="9">
                  <c:v>365</c:v>
                </c:pt>
                <c:pt idx="10">
                  <c:v>328</c:v>
                </c:pt>
                <c:pt idx="11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5478016"/>
        <c:axId val="105479552"/>
        <c:axId val="105363648"/>
      </c:bar3DChart>
      <c:catAx>
        <c:axId val="105478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endParaRPr lang="ru-RU"/>
          </a:p>
        </c:txPr>
        <c:crossAx val="105479552"/>
        <c:crosses val="autoZero"/>
        <c:auto val="1"/>
        <c:lblAlgn val="ctr"/>
        <c:lblOffset val="100"/>
        <c:noMultiLvlLbl val="0"/>
      </c:catAx>
      <c:valAx>
        <c:axId val="10547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endParaRPr lang="ru-RU"/>
          </a:p>
        </c:txPr>
        <c:crossAx val="105478016"/>
        <c:crosses val="autoZero"/>
        <c:crossBetween val="between"/>
      </c:valAx>
      <c:serAx>
        <c:axId val="105363648"/>
        <c:scaling>
          <c:orientation val="minMax"/>
        </c:scaling>
        <c:delete val="1"/>
        <c:axPos val="b"/>
        <c:majorTickMark val="out"/>
        <c:minorTickMark val="none"/>
        <c:tickLblPos val="nextTo"/>
        <c:crossAx val="105479552"/>
        <c:crosses val="autoZero"/>
      </c:ser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6D7B-436B-46C6-8657-81C88FB2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18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Secretary</cp:lastModifiedBy>
  <cp:revision>29</cp:revision>
  <cp:lastPrinted>2017-09-06T02:27:00Z</cp:lastPrinted>
  <dcterms:created xsi:type="dcterms:W3CDTF">2017-07-25T23:45:00Z</dcterms:created>
  <dcterms:modified xsi:type="dcterms:W3CDTF">2017-09-06T02:43:00Z</dcterms:modified>
</cp:coreProperties>
</file>